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6DA" w:rsidRPr="000B73E4" w:rsidRDefault="001D46DA" w:rsidP="000B73E4">
      <w:pPr>
        <w:pStyle w:val="ListeParagraf"/>
        <w:numPr>
          <w:ilvl w:val="0"/>
          <w:numId w:val="4"/>
        </w:numPr>
        <w:rPr>
          <w:rFonts w:asciiTheme="minorHAnsi" w:hAnsiTheme="minorHAnsi"/>
          <w:b/>
          <w:sz w:val="22"/>
          <w:szCs w:val="22"/>
        </w:rPr>
      </w:pPr>
      <w:r w:rsidRPr="000B73E4">
        <w:rPr>
          <w:rFonts w:asciiTheme="minorHAnsi" w:hAnsiTheme="minorHAnsi"/>
          <w:b/>
          <w:sz w:val="22"/>
          <w:szCs w:val="22"/>
        </w:rPr>
        <w:t>Amaç</w:t>
      </w:r>
      <w:bookmarkStart w:id="0" w:name="_GoBack"/>
      <w:bookmarkEnd w:id="0"/>
    </w:p>
    <w:p w:rsidR="000B73E4" w:rsidRPr="000B73E4" w:rsidRDefault="000B73E4" w:rsidP="000B73E4">
      <w:pPr>
        <w:pStyle w:val="ListeParagraf"/>
        <w:ind w:left="1460"/>
        <w:rPr>
          <w:rFonts w:asciiTheme="minorHAnsi" w:hAnsiTheme="minorHAnsi"/>
          <w:b/>
          <w:sz w:val="22"/>
          <w:szCs w:val="22"/>
        </w:rPr>
      </w:pPr>
    </w:p>
    <w:p w:rsidR="001D46DA" w:rsidRPr="001D46DA" w:rsidRDefault="001D46DA" w:rsidP="008A36FB">
      <w:pPr>
        <w:ind w:left="300" w:right="440" w:firstLine="420"/>
        <w:jc w:val="both"/>
        <w:rPr>
          <w:rFonts w:asciiTheme="minorHAnsi" w:hAnsiTheme="minorHAnsi"/>
          <w:sz w:val="22"/>
          <w:szCs w:val="22"/>
        </w:rPr>
      </w:pPr>
      <w:r w:rsidRPr="001D46DA">
        <w:rPr>
          <w:rFonts w:asciiTheme="minorHAnsi" w:hAnsiTheme="minorHAnsi"/>
          <w:sz w:val="22"/>
          <w:szCs w:val="22"/>
        </w:rPr>
        <w:t xml:space="preserve">Bu doküman, </w:t>
      </w:r>
      <w:r w:rsidR="00B956AB" w:rsidRPr="00BE2A29">
        <w:rPr>
          <w:rStyle w:val="GvdemetniKaln"/>
          <w:rFonts w:asciiTheme="minorHAnsi" w:hAnsiTheme="minorHAnsi"/>
          <w:sz w:val="22"/>
          <w:szCs w:val="22"/>
        </w:rPr>
        <w:t xml:space="preserve">T.C. Sağlık Bakanlığı </w:t>
      </w:r>
      <w:r w:rsidR="00F03EF1">
        <w:rPr>
          <w:rStyle w:val="GvdemetniKaln2"/>
          <w:rFonts w:asciiTheme="minorHAnsi" w:hAnsiTheme="minorHAnsi"/>
          <w:sz w:val="22"/>
          <w:szCs w:val="22"/>
        </w:rPr>
        <w:t>Tokat</w:t>
      </w:r>
      <w:r w:rsidR="00B956AB" w:rsidRPr="00BE2A29">
        <w:rPr>
          <w:rStyle w:val="GvdemetniKaln2"/>
          <w:rFonts w:asciiTheme="minorHAnsi" w:hAnsiTheme="minorHAnsi"/>
          <w:sz w:val="22"/>
          <w:szCs w:val="22"/>
        </w:rPr>
        <w:t xml:space="preserve"> İl Sağlık Müdürlüğü </w:t>
      </w:r>
      <w:r w:rsidR="00B956AB">
        <w:rPr>
          <w:rStyle w:val="GvdemetniKaln2"/>
          <w:rFonts w:asciiTheme="minorHAnsi" w:hAnsiTheme="minorHAnsi"/>
          <w:sz w:val="22"/>
          <w:szCs w:val="22"/>
        </w:rPr>
        <w:t>ve Bağlı Birimler</w:t>
      </w:r>
      <w:r w:rsidR="00B956AB" w:rsidRPr="001D46DA">
        <w:rPr>
          <w:rFonts w:asciiTheme="minorHAnsi" w:hAnsiTheme="minorHAnsi"/>
          <w:sz w:val="22"/>
          <w:szCs w:val="22"/>
        </w:rPr>
        <w:t xml:space="preserve"> </w:t>
      </w:r>
      <w:r w:rsidRPr="001D46DA">
        <w:rPr>
          <w:rFonts w:asciiTheme="minorHAnsi" w:hAnsiTheme="minorHAnsi"/>
          <w:sz w:val="22"/>
          <w:szCs w:val="22"/>
        </w:rPr>
        <w:t>kapsamında uygulanması planlanan Bilgi Güvenliği Yönetim Sistemleri (TS ISO/IEC 27001 Bilgi Güvenliği Yönetim Sistemi Standardı) çerçevesinde yayımlanmış olan dokümantasyonda belirtilen hükümlere, prosedürlerde yer alan iş yapma biçimlerine uymayanlara karşı uygulanacak disiplin sürecini tanımlar.</w:t>
      </w:r>
    </w:p>
    <w:p w:rsidR="000B73E4" w:rsidRDefault="000B73E4" w:rsidP="000B73E4">
      <w:pPr>
        <w:ind w:left="1020"/>
        <w:rPr>
          <w:rFonts w:asciiTheme="minorHAnsi" w:hAnsiTheme="minorHAnsi"/>
          <w:b/>
          <w:sz w:val="22"/>
          <w:szCs w:val="22"/>
        </w:rPr>
      </w:pPr>
    </w:p>
    <w:p w:rsidR="001D46DA" w:rsidRPr="000B73E4" w:rsidRDefault="001D46DA" w:rsidP="000B73E4">
      <w:pPr>
        <w:pStyle w:val="ListeParagraf"/>
        <w:numPr>
          <w:ilvl w:val="0"/>
          <w:numId w:val="4"/>
        </w:numPr>
        <w:rPr>
          <w:rFonts w:asciiTheme="minorHAnsi" w:hAnsiTheme="minorHAnsi"/>
          <w:b/>
          <w:sz w:val="22"/>
          <w:szCs w:val="22"/>
        </w:rPr>
      </w:pPr>
      <w:r w:rsidRPr="000B73E4">
        <w:rPr>
          <w:rFonts w:asciiTheme="minorHAnsi" w:hAnsiTheme="minorHAnsi"/>
          <w:b/>
          <w:sz w:val="22"/>
          <w:szCs w:val="22"/>
        </w:rPr>
        <w:t>Kapsam</w:t>
      </w:r>
    </w:p>
    <w:p w:rsidR="000B73E4" w:rsidRPr="000B73E4" w:rsidRDefault="000B73E4" w:rsidP="000B73E4">
      <w:pPr>
        <w:pStyle w:val="ListeParagraf"/>
        <w:ind w:left="1460"/>
        <w:rPr>
          <w:rFonts w:asciiTheme="minorHAnsi" w:hAnsiTheme="minorHAnsi"/>
          <w:b/>
          <w:sz w:val="22"/>
          <w:szCs w:val="22"/>
        </w:rPr>
      </w:pPr>
    </w:p>
    <w:p w:rsidR="001D46DA" w:rsidRPr="001D46DA" w:rsidRDefault="0019278F" w:rsidP="000B73E4">
      <w:pPr>
        <w:ind w:left="300" w:right="440" w:firstLine="420"/>
        <w:rPr>
          <w:rFonts w:asciiTheme="minorHAnsi" w:hAnsiTheme="minorHAnsi"/>
          <w:sz w:val="22"/>
          <w:szCs w:val="22"/>
        </w:rPr>
      </w:pPr>
      <w:r>
        <w:rPr>
          <w:rFonts w:asciiTheme="minorHAnsi" w:hAnsiTheme="minorHAnsi"/>
          <w:sz w:val="22"/>
          <w:szCs w:val="22"/>
        </w:rPr>
        <w:t xml:space="preserve">Bu prosedür;  </w:t>
      </w:r>
      <w:r w:rsidR="00B956AB" w:rsidRPr="00BE2A29">
        <w:rPr>
          <w:rStyle w:val="GvdemetniKaln"/>
          <w:rFonts w:asciiTheme="minorHAnsi" w:hAnsiTheme="minorHAnsi"/>
          <w:sz w:val="22"/>
          <w:szCs w:val="22"/>
        </w:rPr>
        <w:t xml:space="preserve">T.C. Sağlık Bakanlığı </w:t>
      </w:r>
      <w:r w:rsidR="00F03EF1">
        <w:rPr>
          <w:rStyle w:val="GvdemetniKaln2"/>
          <w:rFonts w:asciiTheme="minorHAnsi" w:hAnsiTheme="minorHAnsi"/>
          <w:sz w:val="22"/>
          <w:szCs w:val="22"/>
        </w:rPr>
        <w:t>Tokat</w:t>
      </w:r>
      <w:r w:rsidR="00B956AB" w:rsidRPr="00BE2A29">
        <w:rPr>
          <w:rStyle w:val="GvdemetniKaln2"/>
          <w:rFonts w:asciiTheme="minorHAnsi" w:hAnsiTheme="minorHAnsi"/>
          <w:sz w:val="22"/>
          <w:szCs w:val="22"/>
        </w:rPr>
        <w:t xml:space="preserve"> İl Sağlık Müdürlüğü </w:t>
      </w:r>
      <w:r w:rsidR="00B956AB">
        <w:rPr>
          <w:rStyle w:val="GvdemetniKaln2"/>
          <w:rFonts w:asciiTheme="minorHAnsi" w:hAnsiTheme="minorHAnsi"/>
          <w:sz w:val="22"/>
          <w:szCs w:val="22"/>
        </w:rPr>
        <w:t xml:space="preserve">ve Bağlı Birimlerde </w:t>
      </w:r>
      <w:r>
        <w:rPr>
          <w:rFonts w:asciiTheme="minorHAnsi" w:hAnsiTheme="minorHAnsi"/>
          <w:sz w:val="22"/>
          <w:szCs w:val="22"/>
        </w:rPr>
        <w:t xml:space="preserve"> çalışanları kapsamaktadır.</w:t>
      </w:r>
    </w:p>
    <w:p w:rsidR="000B73E4" w:rsidRDefault="000B73E4" w:rsidP="000B73E4">
      <w:pPr>
        <w:ind w:left="1020"/>
        <w:rPr>
          <w:rFonts w:asciiTheme="minorHAnsi" w:hAnsiTheme="minorHAnsi"/>
          <w:b/>
          <w:sz w:val="22"/>
          <w:szCs w:val="22"/>
        </w:rPr>
      </w:pPr>
    </w:p>
    <w:p w:rsidR="001D46DA" w:rsidRPr="000B73E4" w:rsidRDefault="001D46DA" w:rsidP="000B73E4">
      <w:pPr>
        <w:pStyle w:val="ListeParagraf"/>
        <w:numPr>
          <w:ilvl w:val="0"/>
          <w:numId w:val="4"/>
        </w:numPr>
        <w:rPr>
          <w:rFonts w:asciiTheme="minorHAnsi" w:hAnsiTheme="minorHAnsi"/>
          <w:b/>
          <w:sz w:val="22"/>
          <w:szCs w:val="22"/>
        </w:rPr>
      </w:pPr>
      <w:r w:rsidRPr="000B73E4">
        <w:rPr>
          <w:rFonts w:asciiTheme="minorHAnsi" w:hAnsiTheme="minorHAnsi"/>
          <w:b/>
          <w:sz w:val="22"/>
          <w:szCs w:val="22"/>
        </w:rPr>
        <w:t>Sorumlular</w:t>
      </w:r>
    </w:p>
    <w:p w:rsidR="000B73E4" w:rsidRPr="000B73E4" w:rsidRDefault="000B73E4" w:rsidP="000B73E4">
      <w:pPr>
        <w:pStyle w:val="ListeParagraf"/>
        <w:ind w:left="1460"/>
        <w:rPr>
          <w:rFonts w:asciiTheme="minorHAnsi" w:hAnsiTheme="minorHAnsi"/>
          <w:b/>
          <w:sz w:val="22"/>
          <w:szCs w:val="22"/>
        </w:rPr>
      </w:pPr>
    </w:p>
    <w:p w:rsidR="001D46DA" w:rsidRDefault="00B956AB" w:rsidP="00B956AB">
      <w:pPr>
        <w:ind w:left="300" w:right="440" w:firstLine="380"/>
        <w:jc w:val="both"/>
        <w:rPr>
          <w:rFonts w:asciiTheme="minorHAnsi" w:hAnsiTheme="minorHAnsi"/>
          <w:sz w:val="22"/>
          <w:szCs w:val="22"/>
        </w:rPr>
      </w:pPr>
      <w:r w:rsidRPr="00BE2A29">
        <w:rPr>
          <w:rStyle w:val="GvdemetniKaln"/>
          <w:rFonts w:asciiTheme="minorHAnsi" w:hAnsiTheme="minorHAnsi"/>
          <w:sz w:val="22"/>
          <w:szCs w:val="22"/>
        </w:rPr>
        <w:t xml:space="preserve">T.C. Sağlık Bakanlığı </w:t>
      </w:r>
      <w:r w:rsidR="00F03EF1">
        <w:rPr>
          <w:rStyle w:val="GvdemetniKaln2"/>
          <w:rFonts w:asciiTheme="minorHAnsi" w:hAnsiTheme="minorHAnsi"/>
          <w:sz w:val="22"/>
          <w:szCs w:val="22"/>
        </w:rPr>
        <w:t>Tokat</w:t>
      </w:r>
      <w:r w:rsidRPr="00BE2A29">
        <w:rPr>
          <w:rStyle w:val="GvdemetniKaln2"/>
          <w:rFonts w:asciiTheme="minorHAnsi" w:hAnsiTheme="minorHAnsi"/>
          <w:sz w:val="22"/>
          <w:szCs w:val="22"/>
        </w:rPr>
        <w:t xml:space="preserve"> İl Sağlık Müdürlüğü </w:t>
      </w:r>
      <w:r>
        <w:rPr>
          <w:rStyle w:val="GvdemetniKaln2"/>
          <w:rFonts w:asciiTheme="minorHAnsi" w:hAnsiTheme="minorHAnsi"/>
          <w:sz w:val="22"/>
          <w:szCs w:val="22"/>
        </w:rPr>
        <w:t xml:space="preserve">ve Bağlı Birimlerde </w:t>
      </w:r>
      <w:r>
        <w:rPr>
          <w:rFonts w:asciiTheme="minorHAnsi" w:hAnsiTheme="minorHAnsi"/>
          <w:sz w:val="22"/>
          <w:szCs w:val="22"/>
        </w:rPr>
        <w:t xml:space="preserve"> </w:t>
      </w:r>
      <w:r w:rsidR="008A36FB">
        <w:rPr>
          <w:rFonts w:asciiTheme="minorHAnsi" w:hAnsiTheme="minorHAnsi"/>
          <w:sz w:val="22"/>
          <w:szCs w:val="22"/>
        </w:rPr>
        <w:t>faaliyet gösteren tüm personel</w:t>
      </w:r>
      <w:r w:rsidR="0019278F">
        <w:rPr>
          <w:rFonts w:asciiTheme="minorHAnsi" w:hAnsiTheme="minorHAnsi"/>
          <w:sz w:val="22"/>
          <w:szCs w:val="22"/>
        </w:rPr>
        <w:t xml:space="preserve"> sorumludur</w:t>
      </w:r>
      <w:r w:rsidR="008A36FB">
        <w:rPr>
          <w:rFonts w:asciiTheme="minorHAnsi" w:hAnsiTheme="minorHAnsi"/>
          <w:sz w:val="22"/>
          <w:szCs w:val="22"/>
        </w:rPr>
        <w:t>. B</w:t>
      </w:r>
      <w:r w:rsidR="001D46DA" w:rsidRPr="001D46DA">
        <w:rPr>
          <w:rFonts w:asciiTheme="minorHAnsi" w:hAnsiTheme="minorHAnsi"/>
          <w:sz w:val="22"/>
          <w:szCs w:val="22"/>
        </w:rPr>
        <w:t>u sürecin işletilmesinden B</w:t>
      </w:r>
      <w:r w:rsidR="0019278F">
        <w:rPr>
          <w:rFonts w:asciiTheme="minorHAnsi" w:hAnsiTheme="minorHAnsi"/>
          <w:sz w:val="22"/>
          <w:szCs w:val="22"/>
        </w:rPr>
        <w:t xml:space="preserve">ilgi Güvenliği </w:t>
      </w:r>
      <w:r w:rsidR="001D46DA" w:rsidRPr="001D46DA">
        <w:rPr>
          <w:rFonts w:asciiTheme="minorHAnsi" w:hAnsiTheme="minorHAnsi"/>
          <w:sz w:val="22"/>
          <w:szCs w:val="22"/>
        </w:rPr>
        <w:t xml:space="preserve"> Komisyonu ve üst yönetici sorumludur.</w:t>
      </w:r>
    </w:p>
    <w:p w:rsidR="000B73E4" w:rsidRPr="001D46DA" w:rsidRDefault="000B73E4" w:rsidP="000B73E4">
      <w:pPr>
        <w:ind w:left="300" w:right="440" w:firstLine="380"/>
        <w:rPr>
          <w:rFonts w:asciiTheme="minorHAnsi" w:hAnsiTheme="minorHAnsi"/>
          <w:sz w:val="22"/>
          <w:szCs w:val="22"/>
        </w:rPr>
      </w:pPr>
    </w:p>
    <w:p w:rsidR="001D46DA" w:rsidRDefault="001D46DA" w:rsidP="000B73E4">
      <w:pPr>
        <w:ind w:left="680" w:firstLine="420"/>
        <w:rPr>
          <w:rFonts w:asciiTheme="minorHAnsi" w:hAnsiTheme="minorHAnsi"/>
          <w:b/>
          <w:sz w:val="22"/>
          <w:szCs w:val="22"/>
        </w:rPr>
      </w:pPr>
      <w:r w:rsidRPr="000B73E4">
        <w:rPr>
          <w:rFonts w:asciiTheme="minorHAnsi" w:hAnsiTheme="minorHAnsi"/>
          <w:b/>
          <w:sz w:val="22"/>
          <w:szCs w:val="22"/>
        </w:rPr>
        <w:t>D- Uygulama</w:t>
      </w:r>
    </w:p>
    <w:p w:rsidR="000B73E4" w:rsidRPr="000B73E4" w:rsidRDefault="000B73E4" w:rsidP="000B73E4">
      <w:pPr>
        <w:ind w:left="680" w:firstLine="420"/>
        <w:rPr>
          <w:rFonts w:asciiTheme="minorHAnsi" w:hAnsiTheme="minorHAnsi"/>
          <w:b/>
          <w:sz w:val="22"/>
          <w:szCs w:val="22"/>
        </w:rPr>
      </w:pPr>
    </w:p>
    <w:p w:rsidR="001D46DA" w:rsidRPr="001D46DA" w:rsidRDefault="001D46DA" w:rsidP="001D46DA">
      <w:pPr>
        <w:numPr>
          <w:ilvl w:val="0"/>
          <w:numId w:val="2"/>
        </w:numPr>
        <w:tabs>
          <w:tab w:val="left" w:pos="1086"/>
        </w:tabs>
        <w:spacing w:line="264" w:lineRule="exact"/>
        <w:ind w:left="1100" w:right="440" w:hanging="360"/>
        <w:jc w:val="both"/>
        <w:rPr>
          <w:rFonts w:asciiTheme="minorHAnsi" w:hAnsiTheme="minorHAnsi"/>
          <w:sz w:val="22"/>
          <w:szCs w:val="22"/>
        </w:rPr>
      </w:pPr>
      <w:r w:rsidRPr="001D46DA">
        <w:rPr>
          <w:rFonts w:asciiTheme="minorHAnsi" w:hAnsiTheme="minorHAnsi"/>
          <w:sz w:val="22"/>
          <w:szCs w:val="22"/>
        </w:rPr>
        <w:t xml:space="preserve">T.C. Sağlık Bakanlığı </w:t>
      </w:r>
      <w:r w:rsidR="00F03EF1">
        <w:rPr>
          <w:rFonts w:ascii="Calibri" w:hAnsi="Calibri"/>
          <w:sz w:val="22"/>
          <w:szCs w:val="22"/>
        </w:rPr>
        <w:t>Tokat</w:t>
      </w:r>
      <w:r w:rsidR="008A36FB" w:rsidRPr="008A36FB">
        <w:rPr>
          <w:rFonts w:ascii="Calibri" w:hAnsi="Calibri"/>
          <w:sz w:val="22"/>
          <w:szCs w:val="22"/>
        </w:rPr>
        <w:t xml:space="preserve"> İl Sağlık Müdürlüğü</w:t>
      </w:r>
      <w:r w:rsidRPr="001D46DA">
        <w:rPr>
          <w:rFonts w:asciiTheme="minorHAnsi" w:hAnsiTheme="minorHAnsi"/>
          <w:sz w:val="22"/>
          <w:szCs w:val="22"/>
        </w:rPr>
        <w:t xml:space="preserve"> </w:t>
      </w:r>
      <w:r w:rsidR="002D6CA3">
        <w:rPr>
          <w:rFonts w:asciiTheme="minorHAnsi" w:hAnsiTheme="minorHAnsi"/>
          <w:sz w:val="22"/>
          <w:szCs w:val="22"/>
        </w:rPr>
        <w:t xml:space="preserve">ve Bağlı Birimler </w:t>
      </w:r>
      <w:r w:rsidRPr="001D46DA">
        <w:rPr>
          <w:rFonts w:asciiTheme="minorHAnsi" w:hAnsiTheme="minorHAnsi"/>
          <w:sz w:val="22"/>
          <w:szCs w:val="22"/>
        </w:rPr>
        <w:t>kapsamı dahilinde uygulanan Bilgi Güvenliği Yönetim Sistemi dokümantasyonu gerekliliklerine aykırı davranılması durumunda başta 657 Sayılı Devlet Memurları Kanunu Disiplin hükümlerine göre ve yaşanan olayın durumuna göre ilgili kanun ve yönetmeliklere göre hareket edilecektir.</w:t>
      </w:r>
    </w:p>
    <w:p w:rsidR="001D46DA" w:rsidRPr="001D46DA" w:rsidRDefault="001D46DA" w:rsidP="001D46DA">
      <w:pPr>
        <w:numPr>
          <w:ilvl w:val="0"/>
          <w:numId w:val="2"/>
        </w:numPr>
        <w:tabs>
          <w:tab w:val="left" w:pos="1100"/>
        </w:tabs>
        <w:spacing w:line="264" w:lineRule="exact"/>
        <w:ind w:left="1100" w:right="440" w:hanging="360"/>
        <w:jc w:val="both"/>
        <w:rPr>
          <w:rFonts w:asciiTheme="minorHAnsi" w:hAnsiTheme="minorHAnsi"/>
          <w:sz w:val="22"/>
          <w:szCs w:val="22"/>
        </w:rPr>
      </w:pPr>
      <w:r w:rsidRPr="001D46DA">
        <w:rPr>
          <w:rFonts w:asciiTheme="minorHAnsi" w:hAnsiTheme="minorHAnsi"/>
          <w:sz w:val="22"/>
          <w:szCs w:val="22"/>
        </w:rPr>
        <w:t>657 Sayılı Devlet Memurları Kanununa tabi olanlar aynı kanunun 125 maddesinde sayılan hükümlere göre değerlendirilecek olup 657 Sayılı Devlet Memurları Kanununun dışınd</w:t>
      </w:r>
      <w:r w:rsidR="003B6831">
        <w:rPr>
          <w:rFonts w:asciiTheme="minorHAnsi" w:hAnsiTheme="minorHAnsi"/>
          <w:sz w:val="22"/>
          <w:szCs w:val="22"/>
        </w:rPr>
        <w:t>a kalan çalışanlar (</w:t>
      </w:r>
      <w:r w:rsidRPr="001D46DA">
        <w:rPr>
          <w:rFonts w:asciiTheme="minorHAnsi" w:hAnsiTheme="minorHAnsi"/>
          <w:sz w:val="22"/>
          <w:szCs w:val="22"/>
        </w:rPr>
        <w:t>Firma Personelleri) sözleşmelerinde belirtilen özel hükümlere göre, yoksa genel hukuk kuralları çerçevesinde hareket edilecektir.</w:t>
      </w:r>
    </w:p>
    <w:p w:rsidR="001D46DA" w:rsidRPr="001D46DA" w:rsidRDefault="001D46DA" w:rsidP="001D46DA">
      <w:pPr>
        <w:numPr>
          <w:ilvl w:val="0"/>
          <w:numId w:val="2"/>
        </w:numPr>
        <w:tabs>
          <w:tab w:val="left" w:pos="1114"/>
        </w:tabs>
        <w:spacing w:line="264" w:lineRule="exact"/>
        <w:ind w:left="1100" w:right="440" w:hanging="360"/>
        <w:jc w:val="both"/>
        <w:rPr>
          <w:rFonts w:asciiTheme="minorHAnsi" w:hAnsiTheme="minorHAnsi"/>
          <w:sz w:val="22"/>
          <w:szCs w:val="22"/>
        </w:rPr>
      </w:pPr>
      <w:r w:rsidRPr="001D46DA">
        <w:rPr>
          <w:rFonts w:asciiTheme="minorHAnsi" w:hAnsiTheme="minorHAnsi"/>
          <w:sz w:val="22"/>
          <w:szCs w:val="22"/>
        </w:rPr>
        <w:t>BGYS gerekliliklerine uyulmaması tespit edildiği durumlarda</w:t>
      </w:r>
      <w:r w:rsidR="002D6CA3">
        <w:rPr>
          <w:rFonts w:asciiTheme="minorHAnsi" w:hAnsiTheme="minorHAnsi"/>
          <w:sz w:val="22"/>
          <w:szCs w:val="22"/>
        </w:rPr>
        <w:t xml:space="preserve"> ihlali tespit eden kişi/kişilerce </w:t>
      </w:r>
      <w:r w:rsidRPr="001D46DA">
        <w:rPr>
          <w:rFonts w:asciiTheme="minorHAnsi" w:hAnsiTheme="minorHAnsi"/>
          <w:sz w:val="22"/>
          <w:szCs w:val="22"/>
        </w:rPr>
        <w:t>tutanak tutularak T.C.</w:t>
      </w:r>
      <w:r w:rsidR="008A36FB">
        <w:rPr>
          <w:rFonts w:asciiTheme="minorHAnsi" w:hAnsiTheme="minorHAnsi"/>
          <w:sz w:val="22"/>
          <w:szCs w:val="22"/>
        </w:rPr>
        <w:t xml:space="preserve"> </w:t>
      </w:r>
      <w:r w:rsidRPr="001D46DA">
        <w:rPr>
          <w:rFonts w:asciiTheme="minorHAnsi" w:hAnsiTheme="minorHAnsi"/>
          <w:sz w:val="22"/>
          <w:szCs w:val="22"/>
        </w:rPr>
        <w:t>Sağlık</w:t>
      </w:r>
      <w:r w:rsidR="008A36FB">
        <w:rPr>
          <w:rFonts w:asciiTheme="minorHAnsi" w:hAnsiTheme="minorHAnsi"/>
          <w:sz w:val="22"/>
          <w:szCs w:val="22"/>
        </w:rPr>
        <w:t xml:space="preserve"> Bakanlığı</w:t>
      </w:r>
      <w:r w:rsidRPr="001D46DA">
        <w:rPr>
          <w:rFonts w:asciiTheme="minorHAnsi" w:hAnsiTheme="minorHAnsi"/>
          <w:sz w:val="22"/>
          <w:szCs w:val="22"/>
        </w:rPr>
        <w:t xml:space="preserve"> </w:t>
      </w:r>
      <w:r w:rsidR="00F03EF1">
        <w:rPr>
          <w:rFonts w:ascii="Calibri" w:hAnsi="Calibri"/>
          <w:sz w:val="22"/>
          <w:szCs w:val="22"/>
        </w:rPr>
        <w:t>Tokat</w:t>
      </w:r>
      <w:r w:rsidR="008A36FB" w:rsidRPr="008A36FB">
        <w:rPr>
          <w:rFonts w:ascii="Calibri" w:hAnsi="Calibri"/>
          <w:sz w:val="22"/>
          <w:szCs w:val="22"/>
        </w:rPr>
        <w:t xml:space="preserve"> İl Sağlık Müdürlüğü</w:t>
      </w:r>
      <w:r w:rsidRPr="001D46DA">
        <w:rPr>
          <w:rFonts w:asciiTheme="minorHAnsi" w:hAnsiTheme="minorHAnsi"/>
          <w:sz w:val="22"/>
          <w:szCs w:val="22"/>
        </w:rPr>
        <w:t xml:space="preserve"> Bilgi Güvenliği Komisyonuna havale edilir.</w:t>
      </w:r>
      <w:r w:rsidR="002D6CA3">
        <w:rPr>
          <w:rFonts w:asciiTheme="minorHAnsi" w:hAnsiTheme="minorHAnsi"/>
          <w:sz w:val="22"/>
          <w:szCs w:val="22"/>
        </w:rPr>
        <w:t xml:space="preserve"> Komisyon tarafından incelenen tutanak, gereği yapılmak üzere ilgili disiplin ve/veya hukuk birimine gönderilir.</w:t>
      </w:r>
    </w:p>
    <w:p w:rsidR="001D46DA" w:rsidRPr="001D46DA" w:rsidRDefault="001D46DA" w:rsidP="001D46DA">
      <w:pPr>
        <w:numPr>
          <w:ilvl w:val="0"/>
          <w:numId w:val="2"/>
        </w:numPr>
        <w:tabs>
          <w:tab w:val="left" w:pos="1119"/>
        </w:tabs>
        <w:spacing w:line="264" w:lineRule="exact"/>
        <w:ind w:left="1100" w:right="440" w:hanging="360"/>
        <w:jc w:val="both"/>
        <w:rPr>
          <w:rFonts w:asciiTheme="minorHAnsi" w:hAnsiTheme="minorHAnsi"/>
          <w:sz w:val="22"/>
          <w:szCs w:val="22"/>
        </w:rPr>
      </w:pPr>
      <w:r w:rsidRPr="001D46DA">
        <w:rPr>
          <w:rFonts w:asciiTheme="minorHAnsi" w:hAnsiTheme="minorHAnsi"/>
          <w:sz w:val="22"/>
          <w:szCs w:val="22"/>
        </w:rPr>
        <w:t xml:space="preserve">Disiplin Prosedürünü T.C. Sağlık Bakanlığı </w:t>
      </w:r>
      <w:r w:rsidR="00F03EF1">
        <w:rPr>
          <w:rFonts w:ascii="Calibri" w:hAnsi="Calibri"/>
          <w:sz w:val="22"/>
          <w:szCs w:val="22"/>
        </w:rPr>
        <w:t>Tokat</w:t>
      </w:r>
      <w:r w:rsidR="008A36FB" w:rsidRPr="008A36FB">
        <w:rPr>
          <w:rFonts w:ascii="Calibri" w:hAnsi="Calibri"/>
          <w:sz w:val="22"/>
          <w:szCs w:val="22"/>
        </w:rPr>
        <w:t xml:space="preserve"> İl Sağlık Müdürlüğü</w:t>
      </w:r>
      <w:r w:rsidRPr="001D46DA">
        <w:rPr>
          <w:rFonts w:asciiTheme="minorHAnsi" w:hAnsiTheme="minorHAnsi"/>
          <w:sz w:val="22"/>
          <w:szCs w:val="22"/>
        </w:rPr>
        <w:t xml:space="preserve"> Bilgi Güvenliği Komisyonu ve üst yönetim yürütecektir.</w:t>
      </w:r>
    </w:p>
    <w:p w:rsidR="001D46DA" w:rsidRPr="001D46DA" w:rsidRDefault="001D46DA" w:rsidP="001D46DA">
      <w:pPr>
        <w:numPr>
          <w:ilvl w:val="0"/>
          <w:numId w:val="2"/>
        </w:numPr>
        <w:tabs>
          <w:tab w:val="left" w:pos="1095"/>
        </w:tabs>
        <w:spacing w:line="264" w:lineRule="exact"/>
        <w:ind w:left="1100" w:right="440" w:hanging="360"/>
        <w:jc w:val="both"/>
        <w:rPr>
          <w:rFonts w:asciiTheme="minorHAnsi" w:hAnsiTheme="minorHAnsi"/>
          <w:sz w:val="22"/>
          <w:szCs w:val="22"/>
        </w:rPr>
      </w:pPr>
      <w:r w:rsidRPr="001D46DA">
        <w:rPr>
          <w:rFonts w:asciiTheme="minorHAnsi" w:hAnsiTheme="minorHAnsi"/>
          <w:sz w:val="22"/>
          <w:szCs w:val="22"/>
        </w:rPr>
        <w:t xml:space="preserve">T.C. Sağlık Bakanlığı </w:t>
      </w:r>
      <w:r w:rsidR="00F03EF1">
        <w:rPr>
          <w:rFonts w:ascii="Calibri" w:hAnsi="Calibri"/>
          <w:sz w:val="22"/>
          <w:szCs w:val="22"/>
        </w:rPr>
        <w:t>Tokat</w:t>
      </w:r>
      <w:r w:rsidR="008A36FB" w:rsidRPr="008A36FB">
        <w:rPr>
          <w:rFonts w:ascii="Calibri" w:hAnsi="Calibri"/>
          <w:sz w:val="22"/>
          <w:szCs w:val="22"/>
        </w:rPr>
        <w:t xml:space="preserve"> İl Sağlık Müdürlüğü</w:t>
      </w:r>
      <w:r w:rsidR="002D6CA3">
        <w:rPr>
          <w:rFonts w:ascii="Calibri" w:hAnsi="Calibri"/>
          <w:sz w:val="22"/>
          <w:szCs w:val="22"/>
        </w:rPr>
        <w:t xml:space="preserve"> ve Bağlı Birimlerde</w:t>
      </w:r>
      <w:r w:rsidR="008A36FB" w:rsidRPr="008A36FB">
        <w:rPr>
          <w:rFonts w:ascii="Calibri" w:hAnsi="Calibri"/>
          <w:sz w:val="22"/>
          <w:szCs w:val="22"/>
        </w:rPr>
        <w:t xml:space="preserve"> </w:t>
      </w:r>
      <w:r w:rsidRPr="001D46DA">
        <w:rPr>
          <w:rFonts w:asciiTheme="minorHAnsi" w:hAnsiTheme="minorHAnsi"/>
          <w:sz w:val="22"/>
          <w:szCs w:val="22"/>
        </w:rPr>
        <w:t xml:space="preserve">bulunan donanımlar </w:t>
      </w:r>
      <w:r w:rsidR="008A36FB" w:rsidRPr="008A36FB">
        <w:rPr>
          <w:rFonts w:ascii="Calibri" w:hAnsi="Calibri"/>
          <w:sz w:val="22"/>
          <w:szCs w:val="22"/>
        </w:rPr>
        <w:t>Ankara İl Sağlık Müdürlüğü</w:t>
      </w:r>
      <w:r w:rsidR="008A36FB">
        <w:rPr>
          <w:rFonts w:ascii="Calibri" w:hAnsi="Calibri"/>
          <w:sz w:val="22"/>
          <w:szCs w:val="22"/>
        </w:rPr>
        <w:t>’nün</w:t>
      </w:r>
      <w:r w:rsidRPr="001D46DA">
        <w:rPr>
          <w:rFonts w:asciiTheme="minorHAnsi" w:hAnsiTheme="minorHAnsi"/>
          <w:sz w:val="22"/>
          <w:szCs w:val="22"/>
        </w:rPr>
        <w:t xml:space="preserve"> malı olup bunlara verilecek zararlar kanun nezdinde suç teşkil eder. Donanımın dış görünüşünü değiştirmek, bağlı parçaların bağlantı şeklini değiştirmek, parçaları çalmak veya çalmaya teşebbüs etmek. Bu tür durumlar gerçekleştiğinde yetkili birim ve kişiler tarafından tutanak tutulur, disiplin soruşturması açılır. Ek olarak kullanıcı hesabı süresiz kapatılır. Kurum söz konusu davranışlarda bulunan kişiler hakkında yetkili makamlara şikayette bulunur.</w:t>
      </w:r>
    </w:p>
    <w:p w:rsidR="001D46DA" w:rsidRPr="001D46DA" w:rsidRDefault="001D46DA" w:rsidP="001D46DA">
      <w:pPr>
        <w:numPr>
          <w:ilvl w:val="0"/>
          <w:numId w:val="2"/>
        </w:numPr>
        <w:tabs>
          <w:tab w:val="left" w:pos="1114"/>
        </w:tabs>
        <w:spacing w:line="264" w:lineRule="exact"/>
        <w:ind w:left="1100" w:hanging="360"/>
        <w:jc w:val="both"/>
        <w:rPr>
          <w:rFonts w:asciiTheme="minorHAnsi" w:hAnsiTheme="minorHAnsi"/>
          <w:sz w:val="22"/>
          <w:szCs w:val="22"/>
        </w:rPr>
      </w:pPr>
      <w:r w:rsidRPr="001D46DA">
        <w:rPr>
          <w:rFonts w:asciiTheme="minorHAnsi" w:hAnsiTheme="minorHAnsi"/>
          <w:sz w:val="22"/>
          <w:szCs w:val="22"/>
        </w:rPr>
        <w:t>Disk alanında zararlı dosyalar bulundurulması durumunda kullanıcı hesabı süresiz kapatılır ve dosyalar silinir.</w:t>
      </w:r>
    </w:p>
    <w:p w:rsidR="001D46DA" w:rsidRPr="001D46DA" w:rsidRDefault="001D46DA" w:rsidP="001D46DA">
      <w:pPr>
        <w:numPr>
          <w:ilvl w:val="0"/>
          <w:numId w:val="2"/>
        </w:numPr>
        <w:tabs>
          <w:tab w:val="left" w:pos="1114"/>
        </w:tabs>
        <w:spacing w:line="264" w:lineRule="exact"/>
        <w:ind w:left="1100" w:right="440" w:hanging="360"/>
        <w:jc w:val="both"/>
        <w:rPr>
          <w:rFonts w:asciiTheme="minorHAnsi" w:hAnsiTheme="minorHAnsi"/>
          <w:sz w:val="22"/>
          <w:szCs w:val="22"/>
        </w:rPr>
      </w:pPr>
      <w:r w:rsidRPr="001D46DA">
        <w:rPr>
          <w:rFonts w:asciiTheme="minorHAnsi" w:hAnsiTheme="minorHAnsi"/>
          <w:sz w:val="22"/>
          <w:szCs w:val="22"/>
        </w:rPr>
        <w:t>Başkalarının alanlarına erişilmesi durumunda kullanıcı hesabı süresiz kapatılır, kanuni süreç başlatılır, disiplin soruşturması açılır.</w:t>
      </w:r>
    </w:p>
    <w:p w:rsidR="001D46DA" w:rsidRDefault="001C6C6D" w:rsidP="001D46DA">
      <w:pPr>
        <w:numPr>
          <w:ilvl w:val="0"/>
          <w:numId w:val="2"/>
        </w:numPr>
        <w:tabs>
          <w:tab w:val="left" w:pos="1114"/>
        </w:tabs>
        <w:spacing w:line="264" w:lineRule="exact"/>
        <w:ind w:left="1100" w:right="440" w:hanging="360"/>
        <w:jc w:val="both"/>
        <w:rPr>
          <w:rFonts w:asciiTheme="minorHAnsi" w:hAnsiTheme="minorHAnsi"/>
          <w:sz w:val="22"/>
          <w:szCs w:val="22"/>
        </w:rPr>
      </w:pPr>
      <w:r>
        <w:rPr>
          <w:rFonts w:asciiTheme="minorHAnsi" w:hAnsiTheme="minorHAnsi"/>
          <w:sz w:val="22"/>
          <w:szCs w:val="22"/>
        </w:rPr>
        <w:t xml:space="preserve">Kurum tarafından kullanılmak üzere kendisine tahsis edilen her </w:t>
      </w:r>
      <w:r w:rsidR="001D46DA" w:rsidRPr="001D46DA">
        <w:rPr>
          <w:rFonts w:asciiTheme="minorHAnsi" w:hAnsiTheme="minorHAnsi"/>
          <w:sz w:val="22"/>
          <w:szCs w:val="22"/>
        </w:rPr>
        <w:t xml:space="preserve">türlü kişisel şifreyi paylaşmak disiplin soruşturması gerektirir. Şifresini paylaşan </w:t>
      </w:r>
      <w:r>
        <w:rPr>
          <w:rFonts w:asciiTheme="minorHAnsi" w:hAnsiTheme="minorHAnsi"/>
          <w:sz w:val="22"/>
          <w:szCs w:val="22"/>
        </w:rPr>
        <w:t xml:space="preserve">kullanıcı, eyleminden doğan/doğacak tüm hukuki,cezai ve mali sonuçları </w:t>
      </w:r>
      <w:r w:rsidR="001D46DA" w:rsidRPr="001D46DA">
        <w:rPr>
          <w:rFonts w:asciiTheme="minorHAnsi" w:hAnsiTheme="minorHAnsi"/>
          <w:sz w:val="22"/>
          <w:szCs w:val="22"/>
        </w:rPr>
        <w:t>her türlü sorumluluğu kabul etmiş sayılır.</w:t>
      </w:r>
    </w:p>
    <w:p w:rsidR="001C6C6D" w:rsidRPr="001D46DA" w:rsidRDefault="001C6C6D" w:rsidP="001C6C6D">
      <w:pPr>
        <w:tabs>
          <w:tab w:val="left" w:pos="1114"/>
        </w:tabs>
        <w:spacing w:line="264" w:lineRule="exact"/>
        <w:ind w:left="1100" w:right="440"/>
        <w:jc w:val="both"/>
        <w:rPr>
          <w:rFonts w:asciiTheme="minorHAnsi" w:hAnsiTheme="minorHAnsi"/>
          <w:sz w:val="22"/>
          <w:szCs w:val="22"/>
        </w:rPr>
      </w:pPr>
    </w:p>
    <w:p w:rsidR="001D46DA" w:rsidRDefault="00B14A9E" w:rsidP="001D46DA">
      <w:pPr>
        <w:numPr>
          <w:ilvl w:val="0"/>
          <w:numId w:val="2"/>
        </w:numPr>
        <w:tabs>
          <w:tab w:val="left" w:pos="1114"/>
        </w:tabs>
        <w:spacing w:line="264" w:lineRule="exact"/>
        <w:ind w:left="1100" w:hanging="360"/>
        <w:jc w:val="both"/>
        <w:rPr>
          <w:rFonts w:asciiTheme="minorHAnsi" w:hAnsiTheme="minorHAnsi"/>
          <w:sz w:val="22"/>
          <w:szCs w:val="22"/>
        </w:rPr>
      </w:pPr>
      <w:r>
        <w:rPr>
          <w:rFonts w:asciiTheme="minorHAnsi" w:hAnsiTheme="minorHAnsi"/>
          <w:sz w:val="22"/>
          <w:szCs w:val="22"/>
        </w:rPr>
        <w:t xml:space="preserve">Başkasına ait </w:t>
      </w:r>
      <w:r w:rsidR="001D46DA" w:rsidRPr="001D46DA">
        <w:rPr>
          <w:rFonts w:asciiTheme="minorHAnsi" w:hAnsiTheme="minorHAnsi"/>
          <w:sz w:val="22"/>
          <w:szCs w:val="22"/>
        </w:rPr>
        <w:t>e-posta hesabını</w:t>
      </w:r>
      <w:r>
        <w:rPr>
          <w:rFonts w:asciiTheme="minorHAnsi" w:hAnsiTheme="minorHAnsi"/>
          <w:sz w:val="22"/>
          <w:szCs w:val="22"/>
        </w:rPr>
        <w:t>n</w:t>
      </w:r>
      <w:r w:rsidR="001D46DA" w:rsidRPr="001D46DA">
        <w:rPr>
          <w:rFonts w:asciiTheme="minorHAnsi" w:hAnsiTheme="minorHAnsi"/>
          <w:sz w:val="22"/>
          <w:szCs w:val="22"/>
        </w:rPr>
        <w:t xml:space="preserve"> kullanılması durumunda </w:t>
      </w:r>
      <w:r w:rsidR="00377CD5">
        <w:rPr>
          <w:rFonts w:asciiTheme="minorHAnsi" w:hAnsiTheme="minorHAnsi"/>
          <w:sz w:val="22"/>
          <w:szCs w:val="22"/>
        </w:rPr>
        <w:t xml:space="preserve">her iki </w:t>
      </w:r>
      <w:r w:rsidR="001D46DA" w:rsidRPr="001D46DA">
        <w:rPr>
          <w:rFonts w:asciiTheme="minorHAnsi" w:hAnsiTheme="minorHAnsi"/>
          <w:sz w:val="22"/>
          <w:szCs w:val="22"/>
        </w:rPr>
        <w:t>kullanıcı</w:t>
      </w:r>
      <w:r>
        <w:rPr>
          <w:rFonts w:asciiTheme="minorHAnsi" w:hAnsiTheme="minorHAnsi"/>
          <w:sz w:val="22"/>
          <w:szCs w:val="22"/>
        </w:rPr>
        <w:t>nın</w:t>
      </w:r>
      <w:r w:rsidR="001D46DA" w:rsidRPr="001D46DA">
        <w:rPr>
          <w:rFonts w:asciiTheme="minorHAnsi" w:hAnsiTheme="minorHAnsi"/>
          <w:sz w:val="22"/>
          <w:szCs w:val="22"/>
        </w:rPr>
        <w:t xml:space="preserve"> hesabı süresiz kapatılır.</w:t>
      </w:r>
    </w:p>
    <w:p w:rsidR="00D814CC" w:rsidRDefault="00D814CC" w:rsidP="00D814CC">
      <w:pPr>
        <w:pStyle w:val="ListeParagraf"/>
        <w:rPr>
          <w:rFonts w:asciiTheme="minorHAnsi" w:hAnsiTheme="minorHAnsi"/>
          <w:sz w:val="22"/>
          <w:szCs w:val="22"/>
        </w:rPr>
      </w:pPr>
    </w:p>
    <w:p w:rsidR="00D814CC" w:rsidRDefault="00D814CC" w:rsidP="00D814CC">
      <w:pPr>
        <w:tabs>
          <w:tab w:val="left" w:pos="1114"/>
        </w:tabs>
        <w:spacing w:line="264" w:lineRule="exact"/>
        <w:jc w:val="both"/>
        <w:rPr>
          <w:rFonts w:asciiTheme="minorHAnsi" w:hAnsiTheme="minorHAnsi"/>
          <w:sz w:val="22"/>
          <w:szCs w:val="22"/>
        </w:rPr>
      </w:pPr>
    </w:p>
    <w:p w:rsidR="000B73E4" w:rsidRPr="001D46DA" w:rsidRDefault="000B73E4" w:rsidP="000B73E4">
      <w:pPr>
        <w:tabs>
          <w:tab w:val="left" w:pos="1114"/>
        </w:tabs>
        <w:spacing w:line="264" w:lineRule="exact"/>
        <w:ind w:left="1100"/>
        <w:jc w:val="both"/>
        <w:rPr>
          <w:rFonts w:asciiTheme="minorHAnsi" w:hAnsiTheme="minorHAnsi"/>
          <w:sz w:val="22"/>
          <w:szCs w:val="22"/>
        </w:rPr>
      </w:pPr>
    </w:p>
    <w:p w:rsidR="001D46DA" w:rsidRPr="001D46DA" w:rsidRDefault="001D46DA" w:rsidP="001D46DA">
      <w:pPr>
        <w:numPr>
          <w:ilvl w:val="0"/>
          <w:numId w:val="2"/>
        </w:numPr>
        <w:tabs>
          <w:tab w:val="left" w:pos="1105"/>
        </w:tabs>
        <w:spacing w:line="264" w:lineRule="exact"/>
        <w:ind w:left="1100" w:right="440" w:hanging="360"/>
        <w:jc w:val="both"/>
        <w:rPr>
          <w:rFonts w:asciiTheme="minorHAnsi" w:hAnsiTheme="minorHAnsi"/>
          <w:sz w:val="22"/>
          <w:szCs w:val="22"/>
        </w:rPr>
      </w:pPr>
      <w:r w:rsidRPr="001D46DA">
        <w:rPr>
          <w:rFonts w:asciiTheme="minorHAnsi" w:hAnsiTheme="minorHAnsi"/>
          <w:sz w:val="22"/>
          <w:szCs w:val="22"/>
        </w:rPr>
        <w:lastRenderedPageBreak/>
        <w:t>Hakaret içerikli e-posta gönderilmesi durumunda kullanıcı hesabı süresiz kapatılır, kanuni süreç başlatılır, disiplin soruşturması açılır.</w:t>
      </w:r>
    </w:p>
    <w:p w:rsidR="001D46DA" w:rsidRPr="001D46DA" w:rsidRDefault="001D46DA" w:rsidP="001D46DA">
      <w:pPr>
        <w:numPr>
          <w:ilvl w:val="0"/>
          <w:numId w:val="2"/>
        </w:numPr>
        <w:tabs>
          <w:tab w:val="left" w:pos="1105"/>
        </w:tabs>
        <w:spacing w:line="264" w:lineRule="exact"/>
        <w:ind w:left="1100" w:right="440" w:hanging="360"/>
        <w:jc w:val="both"/>
        <w:rPr>
          <w:rFonts w:asciiTheme="minorHAnsi" w:hAnsiTheme="minorHAnsi"/>
          <w:sz w:val="22"/>
          <w:szCs w:val="22"/>
        </w:rPr>
      </w:pPr>
      <w:r w:rsidRPr="001D46DA">
        <w:rPr>
          <w:rFonts w:asciiTheme="minorHAnsi" w:hAnsiTheme="minorHAnsi"/>
          <w:sz w:val="22"/>
          <w:szCs w:val="22"/>
        </w:rPr>
        <w:t xml:space="preserve">Kurum tarafından sağlanan e-posta hizmeti kullanılarak devlet sırrı niteliğindeki </w:t>
      </w:r>
      <w:r w:rsidR="001C6C6D">
        <w:rPr>
          <w:rFonts w:asciiTheme="minorHAnsi" w:hAnsiTheme="minorHAnsi"/>
          <w:sz w:val="22"/>
          <w:szCs w:val="22"/>
        </w:rPr>
        <w:t xml:space="preserve">her türlü bilgi ve evrak, </w:t>
      </w:r>
      <w:r w:rsidRPr="001D46DA">
        <w:rPr>
          <w:rFonts w:asciiTheme="minorHAnsi" w:hAnsiTheme="minorHAnsi"/>
          <w:sz w:val="22"/>
          <w:szCs w:val="22"/>
        </w:rPr>
        <w:t xml:space="preserve">üçüncü şahıslarla paylaşılması durumunda kanuni girişimlerde bulunulur ve </w:t>
      </w:r>
      <w:r w:rsidR="00720BEC" w:rsidRPr="001D46DA">
        <w:rPr>
          <w:rFonts w:ascii="Calibri" w:hAnsi="Calibri"/>
          <w:sz w:val="22"/>
          <w:szCs w:val="22"/>
        </w:rPr>
        <w:t>657 Devlet Memurları Kanunu</w:t>
      </w:r>
      <w:r w:rsidR="00720BEC">
        <w:rPr>
          <w:rFonts w:ascii="Calibri" w:hAnsi="Calibri"/>
          <w:sz w:val="22"/>
          <w:szCs w:val="22"/>
        </w:rPr>
        <w:t>na göre</w:t>
      </w:r>
      <w:r w:rsidR="00720BEC" w:rsidRPr="001D46DA">
        <w:rPr>
          <w:rFonts w:asciiTheme="minorHAnsi" w:hAnsiTheme="minorHAnsi"/>
          <w:sz w:val="22"/>
          <w:szCs w:val="22"/>
        </w:rPr>
        <w:t xml:space="preserve"> </w:t>
      </w:r>
      <w:r w:rsidRPr="001D46DA">
        <w:rPr>
          <w:rFonts w:asciiTheme="minorHAnsi" w:hAnsiTheme="minorHAnsi"/>
          <w:sz w:val="22"/>
          <w:szCs w:val="22"/>
        </w:rPr>
        <w:t>disiplin prosesi başlatılır.</w:t>
      </w:r>
    </w:p>
    <w:p w:rsidR="001D46DA" w:rsidRPr="008A36FB" w:rsidRDefault="001D46DA" w:rsidP="001D46DA">
      <w:pPr>
        <w:numPr>
          <w:ilvl w:val="0"/>
          <w:numId w:val="2"/>
        </w:numPr>
        <w:tabs>
          <w:tab w:val="left" w:pos="1153"/>
        </w:tabs>
        <w:spacing w:line="264" w:lineRule="exact"/>
        <w:ind w:left="1100" w:right="440" w:hanging="360"/>
        <w:jc w:val="both"/>
        <w:rPr>
          <w:rFonts w:asciiTheme="minorHAnsi" w:hAnsiTheme="minorHAnsi"/>
          <w:sz w:val="22"/>
          <w:szCs w:val="22"/>
        </w:rPr>
      </w:pPr>
      <w:r w:rsidRPr="001D46DA">
        <w:rPr>
          <w:rFonts w:asciiTheme="minorHAnsi" w:hAnsiTheme="minorHAnsi"/>
          <w:sz w:val="22"/>
          <w:szCs w:val="22"/>
        </w:rPr>
        <w:t xml:space="preserve">Bunun dışındaki kural ihlallerinde en fazla iki uyarı yapılır. Tekrarlanması durumunda </w:t>
      </w:r>
      <w:r w:rsidR="00720BEC" w:rsidRPr="001D46DA">
        <w:rPr>
          <w:rFonts w:ascii="Calibri" w:hAnsi="Calibri"/>
          <w:sz w:val="22"/>
          <w:szCs w:val="22"/>
        </w:rPr>
        <w:t>657 Devlet Memurları Kanunu</w:t>
      </w:r>
      <w:r w:rsidR="00720BEC">
        <w:rPr>
          <w:rFonts w:ascii="Calibri" w:hAnsi="Calibri"/>
          <w:sz w:val="22"/>
          <w:szCs w:val="22"/>
        </w:rPr>
        <w:t xml:space="preserve">na göre </w:t>
      </w:r>
      <w:r w:rsidRPr="001D46DA">
        <w:rPr>
          <w:rFonts w:asciiTheme="minorHAnsi" w:hAnsiTheme="minorHAnsi"/>
          <w:sz w:val="22"/>
          <w:szCs w:val="22"/>
        </w:rPr>
        <w:t>disiplin soruşturması açılır.</w:t>
      </w:r>
    </w:p>
    <w:p w:rsidR="001D46DA" w:rsidRPr="001D46DA" w:rsidRDefault="001D46DA" w:rsidP="001D46DA">
      <w:pPr>
        <w:numPr>
          <w:ilvl w:val="0"/>
          <w:numId w:val="2"/>
        </w:numPr>
        <w:tabs>
          <w:tab w:val="left" w:pos="1143"/>
        </w:tabs>
        <w:spacing w:line="264" w:lineRule="exact"/>
        <w:ind w:left="1100" w:right="460" w:hanging="360"/>
        <w:jc w:val="both"/>
        <w:rPr>
          <w:rFonts w:ascii="Calibri" w:hAnsi="Calibri"/>
          <w:sz w:val="22"/>
          <w:szCs w:val="22"/>
        </w:rPr>
      </w:pPr>
      <w:r w:rsidRPr="001D46DA">
        <w:rPr>
          <w:rFonts w:ascii="Calibri" w:hAnsi="Calibri"/>
          <w:sz w:val="22"/>
          <w:szCs w:val="22"/>
        </w:rPr>
        <w:t>Sistem ve ağ güvenliğinin ihlal edilmesi yasaktır, cezai ve hukuki mesuliyetle sonuçl</w:t>
      </w:r>
      <w:r w:rsidR="008A36FB">
        <w:rPr>
          <w:rFonts w:ascii="Calibri" w:hAnsi="Calibri"/>
          <w:sz w:val="22"/>
          <w:szCs w:val="22"/>
        </w:rPr>
        <w:t xml:space="preserve">anabilir. Bilgi Güvenliği Komisyonu </w:t>
      </w:r>
      <w:r w:rsidRPr="001D46DA">
        <w:rPr>
          <w:rFonts w:ascii="Calibri" w:hAnsi="Calibri"/>
          <w:sz w:val="22"/>
          <w:szCs w:val="22"/>
        </w:rPr>
        <w:t>bu tür ihlallerin söz konusu olduğu durumları inceler ve eğer bir suç oluştuğundan şüphe duyulursa yasa uygulayıcı ile işbirliği yapar.</w:t>
      </w:r>
    </w:p>
    <w:p w:rsidR="001D46DA" w:rsidRPr="001D46DA" w:rsidRDefault="001D46DA" w:rsidP="001D46DA">
      <w:pPr>
        <w:numPr>
          <w:ilvl w:val="0"/>
          <w:numId w:val="2"/>
        </w:numPr>
        <w:tabs>
          <w:tab w:val="left" w:pos="1105"/>
        </w:tabs>
        <w:spacing w:line="264" w:lineRule="exact"/>
        <w:ind w:left="1100" w:right="460" w:hanging="360"/>
        <w:jc w:val="both"/>
        <w:rPr>
          <w:rFonts w:ascii="Calibri" w:hAnsi="Calibri"/>
          <w:sz w:val="22"/>
          <w:szCs w:val="22"/>
        </w:rPr>
      </w:pPr>
      <w:r w:rsidRPr="001D46DA">
        <w:rPr>
          <w:rFonts w:ascii="Calibri" w:hAnsi="Calibri"/>
          <w:sz w:val="22"/>
          <w:szCs w:val="22"/>
        </w:rPr>
        <w:t>Kullanım Politikasını kabul eden taraf, T.C. Sağlık Bakanlığı</w:t>
      </w:r>
      <w:r w:rsidR="008A36FB" w:rsidRPr="008A36FB">
        <w:rPr>
          <w:rFonts w:asciiTheme="minorHAnsi" w:hAnsiTheme="minorHAnsi"/>
          <w:sz w:val="22"/>
          <w:szCs w:val="22"/>
        </w:rPr>
        <w:t xml:space="preserve"> </w:t>
      </w:r>
      <w:r w:rsidR="00F03EF1">
        <w:rPr>
          <w:rFonts w:ascii="Calibri" w:hAnsi="Calibri"/>
          <w:sz w:val="22"/>
          <w:szCs w:val="22"/>
        </w:rPr>
        <w:t>Tokat</w:t>
      </w:r>
      <w:r w:rsidR="008A36FB" w:rsidRPr="008A36FB">
        <w:rPr>
          <w:rFonts w:ascii="Calibri" w:hAnsi="Calibri"/>
          <w:sz w:val="22"/>
          <w:szCs w:val="22"/>
        </w:rPr>
        <w:t xml:space="preserve"> İl Sağlık Müdürlüğü</w:t>
      </w:r>
      <w:r w:rsidRPr="001D46DA">
        <w:rPr>
          <w:rFonts w:ascii="Calibri" w:hAnsi="Calibri"/>
          <w:sz w:val="22"/>
          <w:szCs w:val="22"/>
        </w:rPr>
        <w:t xml:space="preserve"> yukarıdaki maddelerde belirlenen kurallara uygun kullanımının, kullanıcının kişilik hakları saklı kalmak üzere, kontrol edebileceğinden haberdardır ve bunu açıkça kabul eder. Kullanıcı, sorun yaratan herhangi bir olayın farkına varması üzerine, güvenliği sağlamak için acil önlemler alabileceğini kabul eder. Ancak bu önlemler, belirtilen durum genel ağ işleyişini ve güvenliğini etkilemediği sürece, ilgili kişi veya birim ile iletişim kurulduktan ve belli bir süre tanındıktan sonra alınacaktır.</w:t>
      </w:r>
    </w:p>
    <w:p w:rsidR="001D46DA" w:rsidRPr="001D46DA" w:rsidRDefault="001D46DA" w:rsidP="001D46DA">
      <w:pPr>
        <w:numPr>
          <w:ilvl w:val="0"/>
          <w:numId w:val="2"/>
        </w:numPr>
        <w:tabs>
          <w:tab w:val="left" w:pos="1105"/>
        </w:tabs>
        <w:spacing w:line="264" w:lineRule="exact"/>
        <w:ind w:left="1100" w:right="460" w:hanging="360"/>
        <w:jc w:val="both"/>
        <w:rPr>
          <w:rFonts w:ascii="Calibri" w:hAnsi="Calibri"/>
          <w:sz w:val="22"/>
          <w:szCs w:val="22"/>
        </w:rPr>
      </w:pPr>
      <w:r w:rsidRPr="001D46DA">
        <w:rPr>
          <w:rFonts w:ascii="Calibri" w:hAnsi="Calibri"/>
          <w:sz w:val="22"/>
          <w:szCs w:val="22"/>
        </w:rPr>
        <w:t>Kullanıcıların, kurum bünyesinde ça</w:t>
      </w:r>
      <w:r w:rsidR="001C6C6D">
        <w:rPr>
          <w:rFonts w:ascii="Calibri" w:hAnsi="Calibri"/>
          <w:sz w:val="22"/>
          <w:szCs w:val="22"/>
        </w:rPr>
        <w:t>lışmaya başladığı zaman “</w:t>
      </w:r>
      <w:r w:rsidR="00166E6E">
        <w:rPr>
          <w:rFonts w:ascii="Calibri" w:hAnsi="Calibri"/>
          <w:b/>
          <w:sz w:val="22"/>
          <w:szCs w:val="22"/>
        </w:rPr>
        <w:t>Bilgi Güvenliği Kullanıcı</w:t>
      </w:r>
      <w:r w:rsidR="000F2BF7">
        <w:rPr>
          <w:rFonts w:ascii="Calibri" w:hAnsi="Calibri"/>
          <w:b/>
          <w:sz w:val="22"/>
          <w:szCs w:val="22"/>
        </w:rPr>
        <w:t xml:space="preserve"> </w:t>
      </w:r>
      <w:r w:rsidRPr="001C6C6D">
        <w:rPr>
          <w:rFonts w:ascii="Calibri" w:hAnsi="Calibri"/>
          <w:b/>
          <w:sz w:val="22"/>
          <w:szCs w:val="22"/>
        </w:rPr>
        <w:t>Sözleşmesi</w:t>
      </w:r>
      <w:r w:rsidR="001C6C6D">
        <w:rPr>
          <w:rFonts w:ascii="Calibri" w:hAnsi="Calibri"/>
          <w:sz w:val="22"/>
          <w:szCs w:val="22"/>
        </w:rPr>
        <w:t>”</w:t>
      </w:r>
      <w:r w:rsidR="005B294A">
        <w:rPr>
          <w:rFonts w:ascii="Calibri" w:hAnsi="Calibri"/>
          <w:sz w:val="22"/>
          <w:szCs w:val="22"/>
        </w:rPr>
        <w:t xml:space="preserve"> </w:t>
      </w:r>
      <w:r w:rsidRPr="001D46DA">
        <w:rPr>
          <w:rFonts w:ascii="Calibri" w:hAnsi="Calibri"/>
          <w:sz w:val="22"/>
          <w:szCs w:val="22"/>
        </w:rPr>
        <w:t>ni imzalar, sözleşmede yazan tüm hususlara uymayı taahhüt ve kabul eder. Edilmediği takdirde iş bu disiplin prosedürü usullerine göre hareket edilir.</w:t>
      </w:r>
    </w:p>
    <w:p w:rsidR="001D46DA" w:rsidRPr="00720BEC" w:rsidRDefault="001D46DA" w:rsidP="00720BEC">
      <w:pPr>
        <w:numPr>
          <w:ilvl w:val="0"/>
          <w:numId w:val="2"/>
        </w:numPr>
        <w:tabs>
          <w:tab w:val="left" w:pos="1095"/>
        </w:tabs>
        <w:spacing w:line="264" w:lineRule="exact"/>
        <w:ind w:left="1100" w:right="460" w:hanging="360"/>
        <w:jc w:val="both"/>
        <w:rPr>
          <w:rFonts w:ascii="Calibri" w:hAnsi="Calibri"/>
          <w:sz w:val="22"/>
          <w:szCs w:val="22"/>
        </w:rPr>
      </w:pPr>
      <w:r w:rsidRPr="001D46DA">
        <w:rPr>
          <w:rFonts w:ascii="Calibri" w:hAnsi="Calibri"/>
          <w:sz w:val="22"/>
          <w:szCs w:val="22"/>
        </w:rPr>
        <w:t>Bilgi güvenliği politika, prosedür ve talimatlarına uyulmaması halinde, 657 Devlet Memurları Kanunun 125 Maddesinde yer alan hükümler uygulanacaktır.</w:t>
      </w:r>
    </w:p>
    <w:p w:rsidR="001D46DA" w:rsidRDefault="001D46DA" w:rsidP="001D46DA">
      <w:pPr>
        <w:numPr>
          <w:ilvl w:val="0"/>
          <w:numId w:val="2"/>
        </w:numPr>
        <w:tabs>
          <w:tab w:val="left" w:pos="1095"/>
        </w:tabs>
        <w:spacing w:line="264" w:lineRule="exact"/>
        <w:ind w:left="1100" w:hanging="360"/>
        <w:jc w:val="both"/>
        <w:rPr>
          <w:rFonts w:ascii="Calibri" w:hAnsi="Calibri"/>
          <w:sz w:val="22"/>
          <w:szCs w:val="22"/>
        </w:rPr>
      </w:pPr>
      <w:r w:rsidRPr="001D46DA">
        <w:rPr>
          <w:rFonts w:ascii="Calibri" w:hAnsi="Calibri"/>
          <w:sz w:val="22"/>
          <w:szCs w:val="22"/>
        </w:rPr>
        <w:t>657 Devlet Memurları Kanunda yer alan ve diğer kabul edilecek cezai yaptırımlar aşağıdaki gibi olacaktır.</w:t>
      </w:r>
    </w:p>
    <w:p w:rsidR="001D46DA" w:rsidRDefault="001D46DA" w:rsidP="001D46DA">
      <w:pPr>
        <w:tabs>
          <w:tab w:val="left" w:pos="1095"/>
        </w:tabs>
        <w:spacing w:line="264" w:lineRule="exact"/>
        <w:ind w:left="1100"/>
        <w:jc w:val="both"/>
        <w:rPr>
          <w:rFonts w:ascii="Calibri" w:hAnsi="Calibri"/>
          <w:sz w:val="22"/>
          <w:szCs w:val="22"/>
        </w:rPr>
      </w:pPr>
    </w:p>
    <w:p w:rsidR="001D46DA" w:rsidRPr="000B73E4" w:rsidRDefault="001D46DA" w:rsidP="000B73E4">
      <w:pPr>
        <w:pStyle w:val="ListeParagraf"/>
        <w:numPr>
          <w:ilvl w:val="0"/>
          <w:numId w:val="3"/>
        </w:numPr>
        <w:tabs>
          <w:tab w:val="left" w:pos="1095"/>
        </w:tabs>
        <w:spacing w:line="264" w:lineRule="exact"/>
        <w:jc w:val="both"/>
        <w:rPr>
          <w:rFonts w:ascii="Calibri" w:hAnsi="Calibri"/>
          <w:sz w:val="22"/>
          <w:szCs w:val="22"/>
        </w:rPr>
      </w:pPr>
      <w:r w:rsidRPr="000B73E4">
        <w:rPr>
          <w:rFonts w:ascii="Calibri" w:hAnsi="Calibri"/>
          <w:sz w:val="22"/>
          <w:szCs w:val="22"/>
        </w:rPr>
        <w:t>Uyarma,</w:t>
      </w:r>
    </w:p>
    <w:p w:rsidR="001D46DA" w:rsidRPr="000B73E4" w:rsidRDefault="000B73E4" w:rsidP="000B73E4">
      <w:pPr>
        <w:pStyle w:val="ListeParagraf"/>
        <w:numPr>
          <w:ilvl w:val="0"/>
          <w:numId w:val="3"/>
        </w:numPr>
        <w:tabs>
          <w:tab w:val="left" w:pos="1095"/>
        </w:tabs>
        <w:spacing w:line="264" w:lineRule="exact"/>
        <w:jc w:val="both"/>
        <w:rPr>
          <w:rFonts w:ascii="Calibri" w:hAnsi="Calibri"/>
          <w:sz w:val="22"/>
          <w:szCs w:val="22"/>
        </w:rPr>
      </w:pPr>
      <w:r>
        <w:rPr>
          <w:rFonts w:ascii="Calibri" w:hAnsi="Calibri"/>
          <w:sz w:val="22"/>
          <w:szCs w:val="22"/>
        </w:rPr>
        <w:t>Kınama</w:t>
      </w:r>
      <w:r w:rsidR="001D46DA" w:rsidRPr="000B73E4">
        <w:rPr>
          <w:rFonts w:ascii="Calibri" w:hAnsi="Calibri"/>
          <w:sz w:val="22"/>
          <w:szCs w:val="22"/>
        </w:rPr>
        <w:t>,</w:t>
      </w:r>
    </w:p>
    <w:p w:rsidR="001D46DA" w:rsidRPr="000B73E4" w:rsidRDefault="001D46DA" w:rsidP="000B73E4">
      <w:pPr>
        <w:pStyle w:val="ListeParagraf"/>
        <w:numPr>
          <w:ilvl w:val="0"/>
          <w:numId w:val="3"/>
        </w:numPr>
        <w:tabs>
          <w:tab w:val="left" w:pos="1095"/>
        </w:tabs>
        <w:spacing w:line="264" w:lineRule="exact"/>
        <w:jc w:val="both"/>
        <w:rPr>
          <w:rFonts w:ascii="Calibri" w:hAnsi="Calibri"/>
          <w:sz w:val="22"/>
          <w:szCs w:val="22"/>
        </w:rPr>
      </w:pPr>
      <w:r w:rsidRPr="000B73E4">
        <w:rPr>
          <w:rFonts w:ascii="Calibri" w:hAnsi="Calibri"/>
          <w:sz w:val="22"/>
          <w:szCs w:val="22"/>
        </w:rPr>
        <w:t>Aylıktan kesme,</w:t>
      </w:r>
    </w:p>
    <w:p w:rsidR="001D46DA" w:rsidRPr="000B73E4" w:rsidRDefault="001D46DA" w:rsidP="000B73E4">
      <w:pPr>
        <w:pStyle w:val="ListeParagraf"/>
        <w:numPr>
          <w:ilvl w:val="0"/>
          <w:numId w:val="3"/>
        </w:numPr>
        <w:tabs>
          <w:tab w:val="left" w:pos="1095"/>
        </w:tabs>
        <w:spacing w:line="264" w:lineRule="exact"/>
        <w:jc w:val="both"/>
        <w:rPr>
          <w:rFonts w:ascii="Calibri" w:hAnsi="Calibri"/>
          <w:sz w:val="22"/>
          <w:szCs w:val="22"/>
        </w:rPr>
      </w:pPr>
      <w:r w:rsidRPr="000B73E4">
        <w:rPr>
          <w:rFonts w:ascii="Calibri" w:hAnsi="Calibri"/>
          <w:sz w:val="22"/>
          <w:szCs w:val="22"/>
        </w:rPr>
        <w:t>Kademe ilerlemesinin durdurulması,</w:t>
      </w:r>
    </w:p>
    <w:p w:rsidR="001D46DA" w:rsidRPr="000B73E4" w:rsidRDefault="001D46DA" w:rsidP="000B73E4">
      <w:pPr>
        <w:pStyle w:val="ListeParagraf"/>
        <w:numPr>
          <w:ilvl w:val="0"/>
          <w:numId w:val="3"/>
        </w:numPr>
        <w:tabs>
          <w:tab w:val="left" w:pos="1095"/>
        </w:tabs>
        <w:spacing w:line="264" w:lineRule="exact"/>
        <w:jc w:val="both"/>
        <w:rPr>
          <w:rFonts w:ascii="Calibri" w:hAnsi="Calibri"/>
          <w:sz w:val="22"/>
          <w:szCs w:val="22"/>
        </w:rPr>
      </w:pPr>
      <w:r w:rsidRPr="000B73E4">
        <w:rPr>
          <w:rFonts w:ascii="Calibri" w:hAnsi="Calibri"/>
          <w:sz w:val="22"/>
          <w:szCs w:val="22"/>
        </w:rPr>
        <w:t>Devlet memurluğundan çıkarma,</w:t>
      </w:r>
    </w:p>
    <w:p w:rsidR="001D46DA" w:rsidRPr="000B73E4" w:rsidRDefault="001D46DA" w:rsidP="000B73E4">
      <w:pPr>
        <w:pStyle w:val="ListeParagraf"/>
        <w:numPr>
          <w:ilvl w:val="0"/>
          <w:numId w:val="3"/>
        </w:numPr>
        <w:tabs>
          <w:tab w:val="left" w:pos="1095"/>
        </w:tabs>
        <w:spacing w:line="264" w:lineRule="exact"/>
        <w:jc w:val="both"/>
        <w:rPr>
          <w:rFonts w:ascii="Calibri" w:hAnsi="Calibri"/>
          <w:sz w:val="22"/>
          <w:szCs w:val="22"/>
        </w:rPr>
      </w:pPr>
      <w:r w:rsidRPr="000B73E4">
        <w:rPr>
          <w:rFonts w:ascii="Calibri" w:hAnsi="Calibri"/>
          <w:sz w:val="22"/>
          <w:szCs w:val="22"/>
        </w:rPr>
        <w:t>Para cezası(657 dışında yapılan sözleşmeler),</w:t>
      </w:r>
    </w:p>
    <w:p w:rsidR="001D46DA" w:rsidRPr="000B73E4" w:rsidRDefault="001D46DA" w:rsidP="000B73E4">
      <w:pPr>
        <w:pStyle w:val="ListeParagraf"/>
        <w:numPr>
          <w:ilvl w:val="0"/>
          <w:numId w:val="3"/>
        </w:numPr>
        <w:tabs>
          <w:tab w:val="left" w:pos="1095"/>
        </w:tabs>
        <w:spacing w:line="264" w:lineRule="exact"/>
        <w:jc w:val="both"/>
        <w:rPr>
          <w:rFonts w:ascii="Calibri" w:hAnsi="Calibri"/>
          <w:sz w:val="22"/>
          <w:szCs w:val="22"/>
        </w:rPr>
      </w:pPr>
      <w:r w:rsidRPr="000B73E4">
        <w:rPr>
          <w:rFonts w:ascii="Calibri" w:hAnsi="Calibri"/>
          <w:sz w:val="22"/>
          <w:szCs w:val="22"/>
        </w:rPr>
        <w:t>Sözleşme feshi.</w:t>
      </w:r>
    </w:p>
    <w:p w:rsidR="001323F4" w:rsidRPr="001D46DA" w:rsidRDefault="001323F4">
      <w:pPr>
        <w:rPr>
          <w:rFonts w:asciiTheme="minorHAnsi" w:hAnsiTheme="minorHAnsi"/>
          <w:color w:val="auto"/>
          <w:sz w:val="22"/>
          <w:szCs w:val="22"/>
        </w:rPr>
      </w:pPr>
    </w:p>
    <w:p w:rsidR="001323F4" w:rsidRPr="001D46DA" w:rsidRDefault="001323F4">
      <w:pPr>
        <w:rPr>
          <w:rFonts w:asciiTheme="minorHAnsi" w:hAnsiTheme="minorHAnsi"/>
          <w:color w:val="auto"/>
          <w:sz w:val="22"/>
          <w:szCs w:val="22"/>
        </w:rPr>
      </w:pPr>
    </w:p>
    <w:sectPr w:rsidR="001323F4" w:rsidRPr="001D46DA">
      <w:headerReference w:type="default" r:id="rId7"/>
      <w:footerReference w:type="default" r:id="rId8"/>
      <w:type w:val="continuous"/>
      <w:pgSz w:w="11909" w:h="16838"/>
      <w:pgMar w:top="120" w:right="413" w:bottom="120" w:left="413"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8BF" w:rsidRDefault="007F38BF" w:rsidP="006D1F45">
      <w:r>
        <w:separator/>
      </w:r>
    </w:p>
  </w:endnote>
  <w:endnote w:type="continuationSeparator" w:id="0">
    <w:p w:rsidR="007F38BF" w:rsidRDefault="007F38BF" w:rsidP="006D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Franklin Gothic Heavy">
    <w:panose1 w:val="020B09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 w:type="dxa"/>
      <w:tblLayout w:type="fixed"/>
      <w:tblCellMar>
        <w:left w:w="0" w:type="dxa"/>
        <w:right w:w="0" w:type="dxa"/>
      </w:tblCellMar>
      <w:tblLook w:val="0000" w:firstRow="0" w:lastRow="0" w:firstColumn="0" w:lastColumn="0" w:noHBand="0" w:noVBand="0"/>
    </w:tblPr>
    <w:tblGrid>
      <w:gridCol w:w="5251"/>
      <w:gridCol w:w="5539"/>
    </w:tblGrid>
    <w:tr w:rsidR="00D814CC" w:rsidRPr="00BE2A29" w:rsidTr="00840795">
      <w:trPr>
        <w:trHeight w:hRule="exact" w:val="442"/>
      </w:trPr>
      <w:tc>
        <w:tcPr>
          <w:tcW w:w="5251" w:type="dxa"/>
          <w:tcBorders>
            <w:top w:val="single" w:sz="4" w:space="0" w:color="auto"/>
            <w:left w:val="single" w:sz="4" w:space="0" w:color="auto"/>
            <w:bottom w:val="nil"/>
            <w:right w:val="nil"/>
          </w:tcBorders>
          <w:shd w:val="clear" w:color="auto" w:fill="FFFFFF"/>
          <w:vAlign w:val="center"/>
        </w:tcPr>
        <w:p w:rsidR="00D814CC" w:rsidRPr="00063154" w:rsidRDefault="00D814CC" w:rsidP="00840795">
          <w:pPr>
            <w:spacing w:line="230" w:lineRule="exact"/>
            <w:jc w:val="center"/>
            <w:rPr>
              <w:rFonts w:ascii="Calibri" w:hAnsi="Calibri" w:cs="Segoe UI"/>
              <w:color w:val="auto"/>
            </w:rPr>
          </w:pPr>
          <w:r w:rsidRPr="00885F1F">
            <w:rPr>
              <w:rStyle w:val="GvdemetniTahoma1"/>
              <w:sz w:val="22"/>
              <w:szCs w:val="22"/>
            </w:rPr>
            <w:t>Hazırlayan</w:t>
          </w:r>
        </w:p>
      </w:tc>
      <w:tc>
        <w:tcPr>
          <w:tcW w:w="5539" w:type="dxa"/>
          <w:tcBorders>
            <w:top w:val="single" w:sz="4" w:space="0" w:color="auto"/>
            <w:left w:val="single" w:sz="4" w:space="0" w:color="auto"/>
            <w:bottom w:val="nil"/>
            <w:right w:val="single" w:sz="4" w:space="0" w:color="auto"/>
          </w:tcBorders>
          <w:shd w:val="clear" w:color="auto" w:fill="FFFFFF"/>
          <w:vAlign w:val="center"/>
        </w:tcPr>
        <w:p w:rsidR="00D814CC" w:rsidRPr="00063154" w:rsidRDefault="00D814CC" w:rsidP="00840795">
          <w:pPr>
            <w:spacing w:line="230" w:lineRule="exact"/>
            <w:jc w:val="center"/>
            <w:rPr>
              <w:rFonts w:ascii="Calibri" w:hAnsi="Calibri" w:cs="Segoe UI"/>
              <w:color w:val="auto"/>
            </w:rPr>
          </w:pPr>
          <w:r>
            <w:rPr>
              <w:rStyle w:val="GvdemetniTahoma1"/>
              <w:sz w:val="22"/>
              <w:szCs w:val="22"/>
            </w:rPr>
            <w:t>Onaylay</w:t>
          </w:r>
          <w:r w:rsidRPr="00885F1F">
            <w:rPr>
              <w:rStyle w:val="GvdemetniTahoma1"/>
              <w:sz w:val="22"/>
              <w:szCs w:val="22"/>
            </w:rPr>
            <w:t>an</w:t>
          </w:r>
        </w:p>
      </w:tc>
    </w:tr>
    <w:tr w:rsidR="00D814CC" w:rsidRPr="00BE2A29" w:rsidTr="00840795">
      <w:trPr>
        <w:trHeight w:hRule="exact" w:val="849"/>
      </w:trPr>
      <w:tc>
        <w:tcPr>
          <w:tcW w:w="5251" w:type="dxa"/>
          <w:tcBorders>
            <w:top w:val="single" w:sz="4" w:space="0" w:color="auto"/>
            <w:left w:val="single" w:sz="4" w:space="0" w:color="auto"/>
            <w:bottom w:val="single" w:sz="4" w:space="0" w:color="auto"/>
            <w:right w:val="nil"/>
          </w:tcBorders>
          <w:shd w:val="clear" w:color="auto" w:fill="FFFFFF"/>
        </w:tcPr>
        <w:p w:rsidR="00D814CC" w:rsidRDefault="00F03EF1" w:rsidP="00F03EF1">
          <w:pPr>
            <w:jc w:val="center"/>
            <w:rPr>
              <w:color w:val="auto"/>
            </w:rPr>
          </w:pPr>
          <w:r>
            <w:rPr>
              <w:color w:val="auto"/>
            </w:rPr>
            <w:t>Bilgisayar Mühendisi M.UYAN</w:t>
          </w:r>
        </w:p>
        <w:p w:rsidR="00F03EF1" w:rsidRPr="00BE2A29" w:rsidRDefault="00F03EF1" w:rsidP="00F03EF1">
          <w:pPr>
            <w:jc w:val="center"/>
            <w:rPr>
              <w:color w:val="auto"/>
            </w:rPr>
          </w:pPr>
          <w:r>
            <w:rPr>
              <w:color w:val="auto"/>
            </w:rPr>
            <w:t>Bilgi işlem Sorumlusu</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D814CC" w:rsidRDefault="00D814CC" w:rsidP="00840795">
          <w:pPr>
            <w:rPr>
              <w:color w:val="auto"/>
            </w:rPr>
          </w:pPr>
        </w:p>
        <w:p w:rsidR="00D814CC" w:rsidRPr="00BE2A29" w:rsidRDefault="00D814CC" w:rsidP="00840795">
          <w:pPr>
            <w:rPr>
              <w:color w:val="auto"/>
            </w:rPr>
          </w:pPr>
        </w:p>
      </w:tc>
    </w:tr>
  </w:tbl>
  <w:p w:rsidR="006D1F45" w:rsidRDefault="006D1F4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8BF" w:rsidRDefault="007F38BF" w:rsidP="006D1F45">
      <w:r>
        <w:separator/>
      </w:r>
    </w:p>
  </w:footnote>
  <w:footnote w:type="continuationSeparator" w:id="0">
    <w:p w:rsidR="007F38BF" w:rsidRDefault="007F38BF" w:rsidP="006D1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F45" w:rsidRDefault="006D1F45">
    <w:pPr>
      <w:pStyle w:val="stbilgi"/>
    </w:pPr>
  </w:p>
  <w:tbl>
    <w:tblPr>
      <w:tblW w:w="11148" w:type="dxa"/>
      <w:tblBorders>
        <w:bottom w:val="single" w:sz="4" w:space="0" w:color="auto"/>
      </w:tblBorders>
      <w:tblLayout w:type="fixed"/>
      <w:tblCellMar>
        <w:left w:w="0" w:type="dxa"/>
        <w:right w:w="0" w:type="dxa"/>
      </w:tblCellMar>
      <w:tblLook w:val="0000" w:firstRow="0" w:lastRow="0" w:firstColumn="0" w:lastColumn="0" w:noHBand="0" w:noVBand="0"/>
    </w:tblPr>
    <w:tblGrid>
      <w:gridCol w:w="2102"/>
      <w:gridCol w:w="7321"/>
      <w:gridCol w:w="1725"/>
    </w:tblGrid>
    <w:tr w:rsidR="006C1797" w:rsidRPr="006C1797" w:rsidTr="006C1797">
      <w:trPr>
        <w:trHeight w:hRule="exact" w:val="1436"/>
      </w:trPr>
      <w:tc>
        <w:tcPr>
          <w:tcW w:w="2102" w:type="dxa"/>
          <w:shd w:val="clear" w:color="auto" w:fill="FFFFFF"/>
        </w:tcPr>
        <w:p w:rsidR="006C1797" w:rsidRPr="00BE2A29" w:rsidRDefault="00F03EF1" w:rsidP="00901E01">
          <w:pPr>
            <w:pStyle w:val="Gvdemetni1"/>
            <w:shd w:val="clear" w:color="auto" w:fill="auto"/>
            <w:spacing w:after="0" w:line="100" w:lineRule="exact"/>
            <w:ind w:firstLine="0"/>
            <w:jc w:val="center"/>
            <w:rPr>
              <w:rFonts w:asciiTheme="minorHAnsi" w:hAnsiTheme="minorHAnsi"/>
              <w:sz w:val="22"/>
              <w:szCs w:val="22"/>
            </w:rPr>
          </w:pPr>
          <w:r w:rsidRPr="009F7CC7">
            <w:rPr>
              <w:noProof/>
            </w:rPr>
            <w:drawing>
              <wp:anchor distT="0" distB="0" distL="114300" distR="114300" simplePos="0" relativeHeight="251658752" behindDoc="0" locked="0" layoutInCell="1" allowOverlap="1" wp14:anchorId="3AA48110" wp14:editId="53F816E2">
                <wp:simplePos x="0" y="0"/>
                <wp:positionH relativeFrom="margin">
                  <wp:posOffset>485775</wp:posOffset>
                </wp:positionH>
                <wp:positionV relativeFrom="paragraph">
                  <wp:posOffset>103505</wp:posOffset>
                </wp:positionV>
                <wp:extent cx="677545" cy="680720"/>
                <wp:effectExtent l="0" t="0" r="8255" b="5080"/>
                <wp:wrapNone/>
                <wp:docPr id="4" name="Resim 4" descr="C:\Users\mustafa.sahin38\AppData\Local\Microsoft\Windows\INetCache\Content.Word\S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ustafa.sahin38\AppData\Local\Microsoft\Windows\INetCache\Content.Word\S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7545" cy="6807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21" w:type="dxa"/>
          <w:shd w:val="clear" w:color="auto" w:fill="FFFFFF"/>
          <w:vAlign w:val="center"/>
        </w:tcPr>
        <w:p w:rsidR="006C1797" w:rsidRPr="006C1797" w:rsidRDefault="00F03EF1" w:rsidP="006C1797">
          <w:pPr>
            <w:pStyle w:val="Gvdemetni1"/>
            <w:shd w:val="clear" w:color="auto" w:fill="auto"/>
            <w:spacing w:after="0" w:line="200" w:lineRule="exact"/>
            <w:ind w:firstLine="0"/>
            <w:jc w:val="center"/>
            <w:rPr>
              <w:rFonts w:asciiTheme="minorHAnsi" w:hAnsiTheme="minorHAnsi"/>
              <w:sz w:val="22"/>
              <w:szCs w:val="22"/>
            </w:rPr>
          </w:pPr>
          <w:r w:rsidRPr="009F7CC7">
            <w:rPr>
              <w:noProof/>
            </w:rPr>
            <w:drawing>
              <wp:anchor distT="0" distB="0" distL="114300" distR="114300" simplePos="0" relativeHeight="251662848" behindDoc="0" locked="0" layoutInCell="1" allowOverlap="1" wp14:anchorId="2454563C" wp14:editId="527D011B">
                <wp:simplePos x="0" y="0"/>
                <wp:positionH relativeFrom="column">
                  <wp:posOffset>4068445</wp:posOffset>
                </wp:positionH>
                <wp:positionV relativeFrom="paragraph">
                  <wp:posOffset>-16510</wp:posOffset>
                </wp:positionV>
                <wp:extent cx="1012825" cy="82677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ustafa.sahin38\Desktop\SBSGM.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17942"/>
                        <a:stretch/>
                      </pic:blipFill>
                      <pic:spPr bwMode="auto">
                        <a:xfrm>
                          <a:off x="0" y="0"/>
                          <a:ext cx="1012825" cy="8267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1797" w:rsidRPr="006C1797">
            <w:rPr>
              <w:rStyle w:val="GvdemetniFranklinGothicHeavy"/>
              <w:rFonts w:asciiTheme="minorHAnsi" w:hAnsiTheme="minorHAnsi"/>
              <w:color w:val="000000"/>
              <w:sz w:val="22"/>
              <w:szCs w:val="22"/>
            </w:rPr>
            <w:t xml:space="preserve">BİLGİ GÜVENLİĞİ DİSİPLİN </w:t>
          </w:r>
          <w:r w:rsidR="006C1797">
            <w:rPr>
              <w:rStyle w:val="GvdemetniFranklinGothicHeavy"/>
              <w:rFonts w:asciiTheme="minorHAnsi" w:hAnsiTheme="minorHAnsi"/>
              <w:color w:val="000000"/>
              <w:sz w:val="22"/>
              <w:szCs w:val="22"/>
            </w:rPr>
            <w:t xml:space="preserve"> PROSEDÜRÜ</w:t>
          </w:r>
        </w:p>
      </w:tc>
      <w:tc>
        <w:tcPr>
          <w:tcW w:w="1725" w:type="dxa"/>
          <w:shd w:val="clear" w:color="auto" w:fill="FFFFFF"/>
        </w:tcPr>
        <w:p w:rsidR="006C1797" w:rsidRPr="006C1797" w:rsidRDefault="006C1797" w:rsidP="00901E01">
          <w:pPr>
            <w:pStyle w:val="Gvdemetni1"/>
            <w:shd w:val="clear" w:color="auto" w:fill="auto"/>
            <w:spacing w:before="60" w:after="0" w:line="200" w:lineRule="exact"/>
            <w:ind w:firstLine="0"/>
            <w:jc w:val="center"/>
            <w:rPr>
              <w:rFonts w:asciiTheme="minorHAnsi" w:hAnsiTheme="minorHAnsi"/>
              <w:sz w:val="16"/>
              <w:szCs w:val="16"/>
            </w:rPr>
          </w:pPr>
        </w:p>
        <w:p w:rsidR="006C1797" w:rsidRPr="006C1797" w:rsidRDefault="006C1797" w:rsidP="00901E01">
          <w:pPr>
            <w:pStyle w:val="Gvdemetni1"/>
            <w:shd w:val="clear" w:color="auto" w:fill="auto"/>
            <w:spacing w:before="60" w:after="0" w:line="200" w:lineRule="exact"/>
            <w:ind w:firstLine="0"/>
            <w:jc w:val="center"/>
            <w:rPr>
              <w:rFonts w:asciiTheme="minorHAnsi" w:hAnsiTheme="minorHAnsi"/>
              <w:sz w:val="16"/>
              <w:szCs w:val="16"/>
            </w:rPr>
          </w:pPr>
        </w:p>
        <w:p w:rsidR="006C1797" w:rsidRPr="006C1797" w:rsidRDefault="006C1797" w:rsidP="00901E01">
          <w:pPr>
            <w:pStyle w:val="Gvdemetni1"/>
            <w:shd w:val="clear" w:color="auto" w:fill="auto"/>
            <w:spacing w:before="60" w:after="0" w:line="200" w:lineRule="exact"/>
            <w:ind w:firstLine="0"/>
            <w:jc w:val="center"/>
            <w:rPr>
              <w:rFonts w:asciiTheme="minorHAnsi" w:hAnsiTheme="minorHAnsi"/>
              <w:sz w:val="16"/>
              <w:szCs w:val="16"/>
            </w:rPr>
          </w:pPr>
        </w:p>
        <w:p w:rsidR="006C1797" w:rsidRPr="006C1797" w:rsidRDefault="006C1797" w:rsidP="00901E01">
          <w:pPr>
            <w:pStyle w:val="Gvdemetni1"/>
            <w:shd w:val="clear" w:color="auto" w:fill="auto"/>
            <w:spacing w:before="60" w:after="0" w:line="200" w:lineRule="exact"/>
            <w:ind w:firstLine="0"/>
            <w:jc w:val="center"/>
            <w:rPr>
              <w:rFonts w:asciiTheme="minorHAnsi" w:hAnsiTheme="minorHAnsi"/>
              <w:sz w:val="16"/>
              <w:szCs w:val="16"/>
            </w:rPr>
          </w:pPr>
        </w:p>
        <w:sdt>
          <w:sdtPr>
            <w:rPr>
              <w:rFonts w:asciiTheme="minorHAnsi" w:hAnsiTheme="minorHAnsi"/>
              <w:sz w:val="16"/>
              <w:szCs w:val="16"/>
            </w:rPr>
            <w:id w:val="1477648756"/>
            <w:docPartObj>
              <w:docPartGallery w:val="Page Numbers (Top of Page)"/>
              <w:docPartUnique/>
            </w:docPartObj>
          </w:sdtPr>
          <w:sdtEndPr/>
          <w:sdtContent>
            <w:p w:rsidR="006C1797" w:rsidRPr="006C1797" w:rsidRDefault="006C1797" w:rsidP="00901E01">
              <w:pPr>
                <w:pStyle w:val="stbilgi"/>
                <w:jc w:val="right"/>
                <w:rPr>
                  <w:rFonts w:asciiTheme="minorHAnsi" w:hAnsiTheme="minorHAnsi"/>
                  <w:sz w:val="16"/>
                  <w:szCs w:val="16"/>
                </w:rPr>
              </w:pPr>
              <w:r w:rsidRPr="006C1797">
                <w:rPr>
                  <w:rFonts w:asciiTheme="minorHAnsi" w:hAnsiTheme="minorHAnsi"/>
                  <w:b/>
                  <w:bCs/>
                  <w:sz w:val="16"/>
                  <w:szCs w:val="16"/>
                </w:rPr>
                <w:fldChar w:fldCharType="begin"/>
              </w:r>
              <w:r w:rsidRPr="006C1797">
                <w:rPr>
                  <w:rFonts w:asciiTheme="minorHAnsi" w:hAnsiTheme="minorHAnsi"/>
                  <w:b/>
                  <w:bCs/>
                  <w:sz w:val="16"/>
                  <w:szCs w:val="16"/>
                </w:rPr>
                <w:instrText>PAGE</w:instrText>
              </w:r>
              <w:r w:rsidRPr="006C1797">
                <w:rPr>
                  <w:rFonts w:asciiTheme="minorHAnsi" w:hAnsiTheme="minorHAnsi"/>
                  <w:b/>
                  <w:bCs/>
                  <w:sz w:val="16"/>
                  <w:szCs w:val="16"/>
                </w:rPr>
                <w:fldChar w:fldCharType="separate"/>
              </w:r>
              <w:r w:rsidR="00F03EF1">
                <w:rPr>
                  <w:rFonts w:asciiTheme="minorHAnsi" w:hAnsiTheme="minorHAnsi"/>
                  <w:b/>
                  <w:bCs/>
                  <w:noProof/>
                  <w:sz w:val="16"/>
                  <w:szCs w:val="16"/>
                </w:rPr>
                <w:t>1</w:t>
              </w:r>
              <w:r w:rsidRPr="006C1797">
                <w:rPr>
                  <w:rFonts w:asciiTheme="minorHAnsi" w:hAnsiTheme="minorHAnsi"/>
                  <w:b/>
                  <w:bCs/>
                  <w:sz w:val="16"/>
                  <w:szCs w:val="16"/>
                </w:rPr>
                <w:fldChar w:fldCharType="end"/>
              </w:r>
              <w:r w:rsidRPr="006C1797">
                <w:rPr>
                  <w:rFonts w:asciiTheme="minorHAnsi" w:hAnsiTheme="minorHAnsi"/>
                  <w:sz w:val="16"/>
                  <w:szCs w:val="16"/>
                </w:rPr>
                <w:t xml:space="preserve"> / </w:t>
              </w:r>
              <w:r w:rsidRPr="006C1797">
                <w:rPr>
                  <w:rFonts w:asciiTheme="minorHAnsi" w:hAnsiTheme="minorHAnsi"/>
                  <w:b/>
                  <w:bCs/>
                  <w:sz w:val="16"/>
                  <w:szCs w:val="16"/>
                </w:rPr>
                <w:fldChar w:fldCharType="begin"/>
              </w:r>
              <w:r w:rsidRPr="006C1797">
                <w:rPr>
                  <w:rFonts w:asciiTheme="minorHAnsi" w:hAnsiTheme="minorHAnsi"/>
                  <w:b/>
                  <w:bCs/>
                  <w:sz w:val="16"/>
                  <w:szCs w:val="16"/>
                </w:rPr>
                <w:instrText>NUMPAGES</w:instrText>
              </w:r>
              <w:r w:rsidRPr="006C1797">
                <w:rPr>
                  <w:rFonts w:asciiTheme="minorHAnsi" w:hAnsiTheme="minorHAnsi"/>
                  <w:b/>
                  <w:bCs/>
                  <w:sz w:val="16"/>
                  <w:szCs w:val="16"/>
                </w:rPr>
                <w:fldChar w:fldCharType="separate"/>
              </w:r>
              <w:r w:rsidR="00F03EF1">
                <w:rPr>
                  <w:rFonts w:asciiTheme="minorHAnsi" w:hAnsiTheme="minorHAnsi"/>
                  <w:b/>
                  <w:bCs/>
                  <w:noProof/>
                  <w:sz w:val="16"/>
                  <w:szCs w:val="16"/>
                </w:rPr>
                <w:t>2</w:t>
              </w:r>
              <w:r w:rsidRPr="006C1797">
                <w:rPr>
                  <w:rFonts w:asciiTheme="minorHAnsi" w:hAnsiTheme="minorHAnsi"/>
                  <w:b/>
                  <w:bCs/>
                  <w:sz w:val="16"/>
                  <w:szCs w:val="16"/>
                </w:rPr>
                <w:fldChar w:fldCharType="end"/>
              </w:r>
            </w:p>
          </w:sdtContent>
        </w:sdt>
        <w:p w:rsidR="006C1797" w:rsidRPr="006C1797" w:rsidRDefault="006C1797" w:rsidP="00901E01">
          <w:pPr>
            <w:pStyle w:val="Gvdemetni1"/>
            <w:shd w:val="clear" w:color="auto" w:fill="auto"/>
            <w:spacing w:before="60" w:after="0" w:line="200" w:lineRule="exact"/>
            <w:ind w:firstLine="0"/>
            <w:jc w:val="center"/>
            <w:rPr>
              <w:rFonts w:asciiTheme="minorHAnsi" w:hAnsiTheme="minorHAnsi"/>
              <w:sz w:val="16"/>
              <w:szCs w:val="16"/>
            </w:rPr>
          </w:pPr>
        </w:p>
      </w:tc>
    </w:tr>
  </w:tbl>
  <w:p w:rsidR="006D1F45" w:rsidRDefault="006D1F45" w:rsidP="006C179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1" w15:restartNumberingAfterBreak="0">
    <w:nsid w:val="0D720A91"/>
    <w:multiLevelType w:val="hybridMultilevel"/>
    <w:tmpl w:val="29D2CA46"/>
    <w:lvl w:ilvl="0" w:tplc="041F0017">
      <w:start w:val="1"/>
      <w:numFmt w:val="lowerLetter"/>
      <w:lvlText w:val="%1)"/>
      <w:lvlJc w:val="left"/>
      <w:pPr>
        <w:ind w:left="1820" w:hanging="360"/>
      </w:pPr>
      <w:rPr>
        <w:rFonts w:cs="Times New Roman"/>
      </w:rPr>
    </w:lvl>
    <w:lvl w:ilvl="1" w:tplc="041F0019" w:tentative="1">
      <w:start w:val="1"/>
      <w:numFmt w:val="lowerLetter"/>
      <w:lvlText w:val="%2."/>
      <w:lvlJc w:val="left"/>
      <w:pPr>
        <w:ind w:left="2540" w:hanging="360"/>
      </w:pPr>
      <w:rPr>
        <w:rFonts w:cs="Times New Roman"/>
      </w:rPr>
    </w:lvl>
    <w:lvl w:ilvl="2" w:tplc="041F001B" w:tentative="1">
      <w:start w:val="1"/>
      <w:numFmt w:val="lowerRoman"/>
      <w:lvlText w:val="%3."/>
      <w:lvlJc w:val="right"/>
      <w:pPr>
        <w:ind w:left="3260" w:hanging="180"/>
      </w:pPr>
      <w:rPr>
        <w:rFonts w:cs="Times New Roman"/>
      </w:rPr>
    </w:lvl>
    <w:lvl w:ilvl="3" w:tplc="041F000F" w:tentative="1">
      <w:start w:val="1"/>
      <w:numFmt w:val="decimal"/>
      <w:lvlText w:val="%4."/>
      <w:lvlJc w:val="left"/>
      <w:pPr>
        <w:ind w:left="3980" w:hanging="360"/>
      </w:pPr>
      <w:rPr>
        <w:rFonts w:cs="Times New Roman"/>
      </w:rPr>
    </w:lvl>
    <w:lvl w:ilvl="4" w:tplc="041F0019" w:tentative="1">
      <w:start w:val="1"/>
      <w:numFmt w:val="lowerLetter"/>
      <w:lvlText w:val="%5."/>
      <w:lvlJc w:val="left"/>
      <w:pPr>
        <w:ind w:left="4700" w:hanging="360"/>
      </w:pPr>
      <w:rPr>
        <w:rFonts w:cs="Times New Roman"/>
      </w:rPr>
    </w:lvl>
    <w:lvl w:ilvl="5" w:tplc="041F001B" w:tentative="1">
      <w:start w:val="1"/>
      <w:numFmt w:val="lowerRoman"/>
      <w:lvlText w:val="%6."/>
      <w:lvlJc w:val="right"/>
      <w:pPr>
        <w:ind w:left="5420" w:hanging="180"/>
      </w:pPr>
      <w:rPr>
        <w:rFonts w:cs="Times New Roman"/>
      </w:rPr>
    </w:lvl>
    <w:lvl w:ilvl="6" w:tplc="041F000F" w:tentative="1">
      <w:start w:val="1"/>
      <w:numFmt w:val="decimal"/>
      <w:lvlText w:val="%7."/>
      <w:lvlJc w:val="left"/>
      <w:pPr>
        <w:ind w:left="6140" w:hanging="360"/>
      </w:pPr>
      <w:rPr>
        <w:rFonts w:cs="Times New Roman"/>
      </w:rPr>
    </w:lvl>
    <w:lvl w:ilvl="7" w:tplc="041F0019" w:tentative="1">
      <w:start w:val="1"/>
      <w:numFmt w:val="lowerLetter"/>
      <w:lvlText w:val="%8."/>
      <w:lvlJc w:val="left"/>
      <w:pPr>
        <w:ind w:left="6860" w:hanging="360"/>
      </w:pPr>
      <w:rPr>
        <w:rFonts w:cs="Times New Roman"/>
      </w:rPr>
    </w:lvl>
    <w:lvl w:ilvl="8" w:tplc="041F001B" w:tentative="1">
      <w:start w:val="1"/>
      <w:numFmt w:val="lowerRoman"/>
      <w:lvlText w:val="%9."/>
      <w:lvlJc w:val="right"/>
      <w:pPr>
        <w:ind w:left="7580" w:hanging="180"/>
      </w:pPr>
      <w:rPr>
        <w:rFonts w:cs="Times New Roman"/>
      </w:rPr>
    </w:lvl>
  </w:abstractNum>
  <w:abstractNum w:abstractNumId="2" w15:restartNumberingAfterBreak="0">
    <w:nsid w:val="35EF420E"/>
    <w:multiLevelType w:val="hybridMultilevel"/>
    <w:tmpl w:val="5012242A"/>
    <w:lvl w:ilvl="0" w:tplc="0BBA4368">
      <w:start w:val="1"/>
      <w:numFmt w:val="upperLetter"/>
      <w:lvlText w:val="%1-"/>
      <w:lvlJc w:val="left"/>
      <w:pPr>
        <w:ind w:left="1460" w:hanging="360"/>
      </w:pPr>
      <w:rPr>
        <w:rFonts w:cs="Times New Roman" w:hint="default"/>
      </w:rPr>
    </w:lvl>
    <w:lvl w:ilvl="1" w:tplc="041F0019" w:tentative="1">
      <w:start w:val="1"/>
      <w:numFmt w:val="lowerLetter"/>
      <w:lvlText w:val="%2."/>
      <w:lvlJc w:val="left"/>
      <w:pPr>
        <w:ind w:left="2180" w:hanging="360"/>
      </w:pPr>
      <w:rPr>
        <w:rFonts w:cs="Times New Roman"/>
      </w:rPr>
    </w:lvl>
    <w:lvl w:ilvl="2" w:tplc="041F001B" w:tentative="1">
      <w:start w:val="1"/>
      <w:numFmt w:val="lowerRoman"/>
      <w:lvlText w:val="%3."/>
      <w:lvlJc w:val="right"/>
      <w:pPr>
        <w:ind w:left="2900" w:hanging="180"/>
      </w:pPr>
      <w:rPr>
        <w:rFonts w:cs="Times New Roman"/>
      </w:rPr>
    </w:lvl>
    <w:lvl w:ilvl="3" w:tplc="041F000F" w:tentative="1">
      <w:start w:val="1"/>
      <w:numFmt w:val="decimal"/>
      <w:lvlText w:val="%4."/>
      <w:lvlJc w:val="left"/>
      <w:pPr>
        <w:ind w:left="3620" w:hanging="360"/>
      </w:pPr>
      <w:rPr>
        <w:rFonts w:cs="Times New Roman"/>
      </w:rPr>
    </w:lvl>
    <w:lvl w:ilvl="4" w:tplc="041F0019" w:tentative="1">
      <w:start w:val="1"/>
      <w:numFmt w:val="lowerLetter"/>
      <w:lvlText w:val="%5."/>
      <w:lvlJc w:val="left"/>
      <w:pPr>
        <w:ind w:left="4340" w:hanging="360"/>
      </w:pPr>
      <w:rPr>
        <w:rFonts w:cs="Times New Roman"/>
      </w:rPr>
    </w:lvl>
    <w:lvl w:ilvl="5" w:tplc="041F001B" w:tentative="1">
      <w:start w:val="1"/>
      <w:numFmt w:val="lowerRoman"/>
      <w:lvlText w:val="%6."/>
      <w:lvlJc w:val="right"/>
      <w:pPr>
        <w:ind w:left="5060" w:hanging="180"/>
      </w:pPr>
      <w:rPr>
        <w:rFonts w:cs="Times New Roman"/>
      </w:rPr>
    </w:lvl>
    <w:lvl w:ilvl="6" w:tplc="041F000F" w:tentative="1">
      <w:start w:val="1"/>
      <w:numFmt w:val="decimal"/>
      <w:lvlText w:val="%7."/>
      <w:lvlJc w:val="left"/>
      <w:pPr>
        <w:ind w:left="5780" w:hanging="360"/>
      </w:pPr>
      <w:rPr>
        <w:rFonts w:cs="Times New Roman"/>
      </w:rPr>
    </w:lvl>
    <w:lvl w:ilvl="7" w:tplc="041F0019" w:tentative="1">
      <w:start w:val="1"/>
      <w:numFmt w:val="lowerLetter"/>
      <w:lvlText w:val="%8."/>
      <w:lvlJc w:val="left"/>
      <w:pPr>
        <w:ind w:left="6500" w:hanging="360"/>
      </w:pPr>
      <w:rPr>
        <w:rFonts w:cs="Times New Roman"/>
      </w:rPr>
    </w:lvl>
    <w:lvl w:ilvl="8" w:tplc="041F001B" w:tentative="1">
      <w:start w:val="1"/>
      <w:numFmt w:val="lowerRoman"/>
      <w:lvlText w:val="%9."/>
      <w:lvlJc w:val="right"/>
      <w:pPr>
        <w:ind w:left="7220" w:hanging="180"/>
      </w:pPr>
      <w:rPr>
        <w:rFonts w:cs="Times New Roman"/>
      </w:rPr>
    </w:lvl>
  </w:abstractNum>
  <w:abstractNum w:abstractNumId="3" w15:restartNumberingAfterBreak="0">
    <w:nsid w:val="3AC83F0A"/>
    <w:multiLevelType w:val="multilevel"/>
    <w:tmpl w:val="381E4022"/>
    <w:lvl w:ilvl="0">
      <w:start w:val="1"/>
      <w:numFmt w:val="decimal"/>
      <w:lvlText w:val="%1-"/>
      <w:lvlJc w:val="left"/>
      <w:rPr>
        <w:rFonts w:ascii="Calibri" w:eastAsia="Times New Roman" w:hAnsi="Calibri" w:cs="Calibri"/>
        <w:b w:val="0"/>
        <w:bCs w:val="0"/>
        <w:i w:val="0"/>
        <w:iCs w:val="0"/>
        <w:smallCaps w:val="0"/>
        <w:strike w:val="0"/>
        <w:color w:val="000000"/>
        <w:spacing w:val="1"/>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efaultTabStop w:val="720"/>
  <w:hyphenationZone w:val="425"/>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616"/>
    <w:rsid w:val="00063154"/>
    <w:rsid w:val="00086243"/>
    <w:rsid w:val="0009615D"/>
    <w:rsid w:val="000B1694"/>
    <w:rsid w:val="000B73E4"/>
    <w:rsid w:val="000F2BF7"/>
    <w:rsid w:val="001323F4"/>
    <w:rsid w:val="001327FE"/>
    <w:rsid w:val="00166E6E"/>
    <w:rsid w:val="0019278F"/>
    <w:rsid w:val="001C6C6D"/>
    <w:rsid w:val="001D46DA"/>
    <w:rsid w:val="002D6CA3"/>
    <w:rsid w:val="00301F02"/>
    <w:rsid w:val="00377CD5"/>
    <w:rsid w:val="003B59D0"/>
    <w:rsid w:val="003B6831"/>
    <w:rsid w:val="003D0A0F"/>
    <w:rsid w:val="0045253F"/>
    <w:rsid w:val="005B294A"/>
    <w:rsid w:val="006C1797"/>
    <w:rsid w:val="006D1F45"/>
    <w:rsid w:val="00720BEC"/>
    <w:rsid w:val="0075160E"/>
    <w:rsid w:val="00752823"/>
    <w:rsid w:val="00773C3D"/>
    <w:rsid w:val="00793C34"/>
    <w:rsid w:val="007F38BF"/>
    <w:rsid w:val="00833B4E"/>
    <w:rsid w:val="008551A5"/>
    <w:rsid w:val="00884616"/>
    <w:rsid w:val="00885F1F"/>
    <w:rsid w:val="008A36FB"/>
    <w:rsid w:val="009F0605"/>
    <w:rsid w:val="00A02FA3"/>
    <w:rsid w:val="00A90D00"/>
    <w:rsid w:val="00B14A9E"/>
    <w:rsid w:val="00B956AB"/>
    <w:rsid w:val="00BE2A29"/>
    <w:rsid w:val="00BF7308"/>
    <w:rsid w:val="00CA5177"/>
    <w:rsid w:val="00CF7C60"/>
    <w:rsid w:val="00D100ED"/>
    <w:rsid w:val="00D177D3"/>
    <w:rsid w:val="00D524DE"/>
    <w:rsid w:val="00D814CC"/>
    <w:rsid w:val="00DB781C"/>
    <w:rsid w:val="00E030EB"/>
    <w:rsid w:val="00E46F5F"/>
    <w:rsid w:val="00EB22EA"/>
    <w:rsid w:val="00F03EF1"/>
    <w:rsid w:val="00F11970"/>
    <w:rsid w:val="00F24022"/>
    <w:rsid w:val="00F33F64"/>
    <w:rsid w:val="00F626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2B48BD2-C778-45B6-97A9-2D0305C5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Courier New"/>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Pr>
      <w:rFonts w:cs="Times New Roman"/>
      <w:color w:val="0066CC"/>
      <w:u w:val="single"/>
    </w:rPr>
  </w:style>
  <w:style w:type="character" w:customStyle="1" w:styleId="Gvdemetni">
    <w:name w:val="Gövde metni_"/>
    <w:basedOn w:val="VarsaylanParagrafYazTipi"/>
    <w:link w:val="Gvdemetni1"/>
    <w:locked/>
    <w:rPr>
      <w:rFonts w:ascii="Calibri" w:hAnsi="Calibri" w:cs="Calibri"/>
      <w:sz w:val="20"/>
      <w:szCs w:val="20"/>
      <w:u w:val="none"/>
    </w:rPr>
  </w:style>
  <w:style w:type="character" w:customStyle="1" w:styleId="GvdemetniFranklinGothicHeavy">
    <w:name w:val="Gövde metni + Franklin Gothic Heavy"/>
    <w:aliases w:val="61 pt,Gövde metni + 15,0 pt boşluk bırakılıyor"/>
    <w:basedOn w:val="Gvdemetni"/>
    <w:uiPriority w:val="99"/>
    <w:rPr>
      <w:rFonts w:ascii="Franklin Gothic Heavy" w:hAnsi="Franklin Gothic Heavy" w:cs="Franklin Gothic Heavy"/>
      <w:noProof/>
      <w:sz w:val="122"/>
      <w:szCs w:val="122"/>
      <w:u w:val="none"/>
    </w:rPr>
  </w:style>
  <w:style w:type="character" w:customStyle="1" w:styleId="GvdemetniTahoma">
    <w:name w:val="Gövde metni + Tahoma"/>
    <w:aliases w:val="5,5 pt"/>
    <w:basedOn w:val="Gvdemetni"/>
    <w:uiPriority w:val="99"/>
    <w:rPr>
      <w:rFonts w:ascii="Tahoma" w:hAnsi="Tahoma" w:cs="Tahoma"/>
      <w:sz w:val="11"/>
      <w:szCs w:val="11"/>
      <w:u w:val="none"/>
    </w:rPr>
  </w:style>
  <w:style w:type="character" w:customStyle="1" w:styleId="GvdemetniKaln">
    <w:name w:val="Gövde metni + Kalın"/>
    <w:basedOn w:val="Gvdemetni"/>
    <w:uiPriority w:val="99"/>
    <w:rPr>
      <w:rFonts w:ascii="Calibri" w:hAnsi="Calibri" w:cs="Calibri"/>
      <w:b/>
      <w:bCs/>
      <w:sz w:val="20"/>
      <w:szCs w:val="20"/>
      <w:u w:val="none"/>
    </w:rPr>
  </w:style>
  <w:style w:type="character" w:customStyle="1" w:styleId="Gvdemetni16">
    <w:name w:val="Gövde metni + 16"/>
    <w:aliases w:val="5 pt2,Kalın"/>
    <w:basedOn w:val="Gvdemetni"/>
    <w:uiPriority w:val="99"/>
    <w:rPr>
      <w:rFonts w:ascii="Calibri" w:hAnsi="Calibri" w:cs="Calibri"/>
      <w:b/>
      <w:bCs/>
      <w:sz w:val="33"/>
      <w:szCs w:val="33"/>
      <w:u w:val="none"/>
    </w:rPr>
  </w:style>
  <w:style w:type="character" w:customStyle="1" w:styleId="Gvdemetni0">
    <w:name w:val="Gövde metni"/>
    <w:basedOn w:val="Gvdemetni"/>
    <w:rPr>
      <w:rFonts w:ascii="Calibri" w:hAnsi="Calibri" w:cs="Calibri"/>
      <w:sz w:val="20"/>
      <w:szCs w:val="20"/>
      <w:u w:val="none"/>
    </w:rPr>
  </w:style>
  <w:style w:type="character" w:customStyle="1" w:styleId="GvdemetniKaln2">
    <w:name w:val="Gövde metni + Kalın2"/>
    <w:basedOn w:val="Gvdemetni"/>
    <w:uiPriority w:val="99"/>
    <w:rPr>
      <w:rFonts w:ascii="Calibri" w:hAnsi="Calibri" w:cs="Calibri"/>
      <w:b/>
      <w:bCs/>
      <w:sz w:val="20"/>
      <w:szCs w:val="20"/>
      <w:u w:val="none"/>
    </w:rPr>
  </w:style>
  <w:style w:type="character" w:customStyle="1" w:styleId="Gvdemetni2">
    <w:name w:val="Gövde metni (2)_"/>
    <w:basedOn w:val="VarsaylanParagrafYazTipi"/>
    <w:link w:val="Gvdemetni20"/>
    <w:uiPriority w:val="99"/>
    <w:locked/>
    <w:rPr>
      <w:rFonts w:ascii="Calibri" w:hAnsi="Calibri" w:cs="Calibri"/>
      <w:b/>
      <w:bCs/>
      <w:sz w:val="20"/>
      <w:szCs w:val="20"/>
      <w:u w:val="none"/>
    </w:rPr>
  </w:style>
  <w:style w:type="character" w:customStyle="1" w:styleId="Balk1">
    <w:name w:val="Başlık #1_"/>
    <w:basedOn w:val="VarsaylanParagrafYazTipi"/>
    <w:link w:val="Balk10"/>
    <w:locked/>
    <w:rPr>
      <w:rFonts w:ascii="Calibri" w:hAnsi="Calibri" w:cs="Calibri"/>
      <w:b/>
      <w:bCs/>
      <w:sz w:val="20"/>
      <w:szCs w:val="20"/>
      <w:u w:val="none"/>
    </w:rPr>
  </w:style>
  <w:style w:type="character" w:customStyle="1" w:styleId="Gvdemetni21">
    <w:name w:val="Gövde metni2"/>
    <w:basedOn w:val="Gvdemetni"/>
    <w:uiPriority w:val="99"/>
    <w:rPr>
      <w:rFonts w:ascii="Calibri" w:hAnsi="Calibri" w:cs="Calibri"/>
      <w:sz w:val="20"/>
      <w:szCs w:val="20"/>
      <w:u w:val="none"/>
    </w:rPr>
  </w:style>
  <w:style w:type="character" w:customStyle="1" w:styleId="GvdemetniKaln1">
    <w:name w:val="Gövde metni + Kalın1"/>
    <w:basedOn w:val="Gvdemetni"/>
    <w:uiPriority w:val="99"/>
    <w:rPr>
      <w:rFonts w:ascii="Calibri" w:hAnsi="Calibri" w:cs="Calibri"/>
      <w:b/>
      <w:bCs/>
      <w:sz w:val="20"/>
      <w:szCs w:val="20"/>
      <w:u w:val="none"/>
    </w:rPr>
  </w:style>
  <w:style w:type="character" w:customStyle="1" w:styleId="GvdemetniTahoma1">
    <w:name w:val="Gövde metni + Tahoma1"/>
    <w:aliases w:val="10,5 pt1,Kalın1,Gövde metni + 11"/>
    <w:basedOn w:val="Gvdemetni"/>
    <w:uiPriority w:val="99"/>
    <w:rPr>
      <w:rFonts w:ascii="Tahoma" w:hAnsi="Tahoma" w:cs="Tahoma"/>
      <w:b/>
      <w:bCs/>
      <w:sz w:val="21"/>
      <w:szCs w:val="21"/>
      <w:u w:val="none"/>
    </w:rPr>
  </w:style>
  <w:style w:type="paragraph" w:customStyle="1" w:styleId="Gvdemetni1">
    <w:name w:val="Gövde metni1"/>
    <w:basedOn w:val="Normal"/>
    <w:link w:val="Gvdemetni"/>
    <w:uiPriority w:val="99"/>
    <w:pPr>
      <w:shd w:val="clear" w:color="auto" w:fill="FFFFFF"/>
      <w:spacing w:after="300" w:line="350" w:lineRule="exact"/>
      <w:ind w:hanging="380"/>
    </w:pPr>
    <w:rPr>
      <w:rFonts w:ascii="Calibri" w:hAnsi="Calibri" w:cs="Calibri"/>
      <w:color w:val="auto"/>
      <w:sz w:val="20"/>
      <w:szCs w:val="20"/>
    </w:rPr>
  </w:style>
  <w:style w:type="paragraph" w:customStyle="1" w:styleId="Gvdemetni20">
    <w:name w:val="Gövde metni (2)"/>
    <w:basedOn w:val="Normal"/>
    <w:link w:val="Gvdemetni2"/>
    <w:uiPriority w:val="99"/>
    <w:pPr>
      <w:shd w:val="clear" w:color="auto" w:fill="FFFFFF"/>
      <w:spacing w:before="300" w:line="350" w:lineRule="exact"/>
    </w:pPr>
    <w:rPr>
      <w:rFonts w:ascii="Calibri" w:hAnsi="Calibri" w:cs="Calibri"/>
      <w:b/>
      <w:bCs/>
      <w:color w:val="auto"/>
      <w:sz w:val="20"/>
      <w:szCs w:val="20"/>
    </w:rPr>
  </w:style>
  <w:style w:type="paragraph" w:customStyle="1" w:styleId="Balk10">
    <w:name w:val="Başlık #1"/>
    <w:basedOn w:val="Normal"/>
    <w:link w:val="Balk1"/>
    <w:pPr>
      <w:shd w:val="clear" w:color="auto" w:fill="FFFFFF"/>
      <w:spacing w:before="300" w:line="346" w:lineRule="exact"/>
      <w:outlineLvl w:val="0"/>
    </w:pPr>
    <w:rPr>
      <w:rFonts w:ascii="Calibri" w:hAnsi="Calibri" w:cs="Calibri"/>
      <w:b/>
      <w:bCs/>
      <w:color w:val="auto"/>
      <w:sz w:val="20"/>
      <w:szCs w:val="20"/>
    </w:rPr>
  </w:style>
  <w:style w:type="character" w:customStyle="1" w:styleId="Gvdemetni3">
    <w:name w:val="Gövde metni3"/>
    <w:uiPriority w:val="99"/>
    <w:rsid w:val="00884616"/>
    <w:rPr>
      <w:rFonts w:ascii="Calibri" w:hAnsi="Calibri"/>
      <w:sz w:val="20"/>
      <w:u w:val="none"/>
    </w:rPr>
  </w:style>
  <w:style w:type="paragraph" w:styleId="stbilgi">
    <w:name w:val="header"/>
    <w:basedOn w:val="Normal"/>
    <w:link w:val="stbilgiChar"/>
    <w:uiPriority w:val="99"/>
    <w:unhideWhenUsed/>
    <w:rsid w:val="006D1F45"/>
    <w:pPr>
      <w:tabs>
        <w:tab w:val="center" w:pos="4536"/>
        <w:tab w:val="right" w:pos="9072"/>
      </w:tabs>
    </w:pPr>
  </w:style>
  <w:style w:type="character" w:customStyle="1" w:styleId="stbilgiChar">
    <w:name w:val="Üstbilgi Char"/>
    <w:basedOn w:val="VarsaylanParagrafYazTipi"/>
    <w:link w:val="stbilgi"/>
    <w:uiPriority w:val="99"/>
    <w:locked/>
    <w:rsid w:val="006D1F45"/>
    <w:rPr>
      <w:rFonts w:cs="Times New Roman"/>
      <w:color w:val="000000"/>
    </w:rPr>
  </w:style>
  <w:style w:type="paragraph" w:styleId="Altbilgi">
    <w:name w:val="footer"/>
    <w:basedOn w:val="Normal"/>
    <w:link w:val="AltbilgiChar"/>
    <w:uiPriority w:val="99"/>
    <w:unhideWhenUsed/>
    <w:rsid w:val="006D1F45"/>
    <w:pPr>
      <w:tabs>
        <w:tab w:val="center" w:pos="4536"/>
        <w:tab w:val="right" w:pos="9072"/>
      </w:tabs>
    </w:pPr>
  </w:style>
  <w:style w:type="character" w:customStyle="1" w:styleId="AltbilgiChar">
    <w:name w:val="Altbilgi Char"/>
    <w:basedOn w:val="VarsaylanParagrafYazTipi"/>
    <w:link w:val="Altbilgi"/>
    <w:uiPriority w:val="99"/>
    <w:locked/>
    <w:rsid w:val="006D1F45"/>
    <w:rPr>
      <w:rFonts w:cs="Times New Roman"/>
      <w:color w:val="000000"/>
    </w:rPr>
  </w:style>
  <w:style w:type="paragraph" w:styleId="ListeParagraf">
    <w:name w:val="List Paragraph"/>
    <w:basedOn w:val="Normal"/>
    <w:uiPriority w:val="34"/>
    <w:qFormat/>
    <w:rsid w:val="000B73E4"/>
    <w:pPr>
      <w:ind w:left="708"/>
    </w:pPr>
  </w:style>
  <w:style w:type="paragraph" w:styleId="BalonMetni">
    <w:name w:val="Balloon Text"/>
    <w:basedOn w:val="Normal"/>
    <w:link w:val="BalonMetniChar"/>
    <w:uiPriority w:val="99"/>
    <w:semiHidden/>
    <w:unhideWhenUsed/>
    <w:rsid w:val="00F6267F"/>
    <w:rPr>
      <w:rFonts w:ascii="Tahoma" w:hAnsi="Tahoma" w:cs="Tahoma"/>
      <w:sz w:val="16"/>
      <w:szCs w:val="16"/>
    </w:rPr>
  </w:style>
  <w:style w:type="character" w:customStyle="1" w:styleId="BalonMetniChar">
    <w:name w:val="Balon Metni Char"/>
    <w:basedOn w:val="VarsaylanParagrafYazTipi"/>
    <w:link w:val="BalonMetni"/>
    <w:uiPriority w:val="99"/>
    <w:semiHidden/>
    <w:rsid w:val="00F6267F"/>
    <w:rPr>
      <w:rFonts w:ascii="Tahoma" w:hAnsi="Tahoma" w:cs="Tahoma"/>
      <w:color w:val="000000"/>
      <w:sz w:val="16"/>
      <w:szCs w:val="16"/>
    </w:rPr>
  </w:style>
  <w:style w:type="character" w:styleId="AklamaBavurusu">
    <w:name w:val="annotation reference"/>
    <w:basedOn w:val="VarsaylanParagrafYazTipi"/>
    <w:uiPriority w:val="99"/>
    <w:semiHidden/>
    <w:unhideWhenUsed/>
    <w:rsid w:val="00833B4E"/>
    <w:rPr>
      <w:sz w:val="16"/>
      <w:szCs w:val="16"/>
    </w:rPr>
  </w:style>
  <w:style w:type="paragraph" w:styleId="AklamaMetni">
    <w:name w:val="annotation text"/>
    <w:basedOn w:val="Normal"/>
    <w:link w:val="AklamaMetniChar"/>
    <w:uiPriority w:val="99"/>
    <w:semiHidden/>
    <w:unhideWhenUsed/>
    <w:rsid w:val="00833B4E"/>
    <w:rPr>
      <w:sz w:val="20"/>
      <w:szCs w:val="20"/>
    </w:rPr>
  </w:style>
  <w:style w:type="character" w:customStyle="1" w:styleId="AklamaMetniChar">
    <w:name w:val="Açıklama Metni Char"/>
    <w:basedOn w:val="VarsaylanParagrafYazTipi"/>
    <w:link w:val="AklamaMetni"/>
    <w:uiPriority w:val="99"/>
    <w:semiHidden/>
    <w:rsid w:val="00833B4E"/>
    <w:rPr>
      <w:color w:val="000000"/>
      <w:sz w:val="20"/>
      <w:szCs w:val="20"/>
    </w:rPr>
  </w:style>
  <w:style w:type="paragraph" w:styleId="AklamaKonusu">
    <w:name w:val="annotation subject"/>
    <w:basedOn w:val="AklamaMetni"/>
    <w:next w:val="AklamaMetni"/>
    <w:link w:val="AklamaKonusuChar"/>
    <w:uiPriority w:val="99"/>
    <w:semiHidden/>
    <w:unhideWhenUsed/>
    <w:rsid w:val="00833B4E"/>
    <w:rPr>
      <w:b/>
      <w:bCs/>
    </w:rPr>
  </w:style>
  <w:style w:type="character" w:customStyle="1" w:styleId="AklamaKonusuChar">
    <w:name w:val="Açıklama Konusu Char"/>
    <w:basedOn w:val="AklamaMetniChar"/>
    <w:link w:val="AklamaKonusu"/>
    <w:uiPriority w:val="99"/>
    <w:semiHidden/>
    <w:rsid w:val="00833B4E"/>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755</Words>
  <Characters>4304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Faruk Çalikusu</dc:creator>
  <cp:lastModifiedBy>Windows Kullanıcısı</cp:lastModifiedBy>
  <cp:revision>7</cp:revision>
  <cp:lastPrinted>2018-05-07T11:13:00Z</cp:lastPrinted>
  <dcterms:created xsi:type="dcterms:W3CDTF">2018-04-10T13:08:00Z</dcterms:created>
  <dcterms:modified xsi:type="dcterms:W3CDTF">2019-01-31T12:10:00Z</dcterms:modified>
</cp:coreProperties>
</file>